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BB3" w:rsidRDefault="00DB47D2">
      <w:pPr>
        <w:pStyle w:val="Titolo2"/>
        <w:jc w:val="center"/>
      </w:pPr>
      <w:r>
        <w:rPr>
          <w:rFonts w:ascii="Arial" w:hAnsi="Arial" w:cs="Arial"/>
          <w:color w:val="00000A"/>
          <w:sz w:val="24"/>
          <w:szCs w:val="24"/>
        </w:rPr>
        <w:t>Università degli Studi di Torino</w:t>
      </w:r>
    </w:p>
    <w:p w:rsidR="00A56BB3" w:rsidRDefault="00DB47D2">
      <w:pPr>
        <w:pStyle w:val="Titolo2"/>
        <w:jc w:val="center"/>
      </w:pPr>
      <w:r>
        <w:rPr>
          <w:rFonts w:ascii="Arial" w:hAnsi="Arial" w:cs="Arial"/>
          <w:color w:val="00000A"/>
          <w:sz w:val="24"/>
          <w:szCs w:val="24"/>
        </w:rPr>
        <w:t>Corso di Laurea in Educazione Professionale</w:t>
      </w:r>
    </w:p>
    <w:p w:rsidR="00A56BB3" w:rsidRDefault="00DB47D2">
      <w:pPr>
        <w:pStyle w:val="Titolo2"/>
        <w:jc w:val="center"/>
      </w:pPr>
      <w:r>
        <w:rPr>
          <w:rFonts w:ascii="Arial" w:hAnsi="Arial" w:cs="Arial"/>
          <w:color w:val="00000A"/>
          <w:sz w:val="24"/>
          <w:szCs w:val="24"/>
        </w:rPr>
        <w:t>Anno accademico 2016/2017</w:t>
      </w:r>
    </w:p>
    <w:p w:rsidR="00A56BB3" w:rsidRDefault="00A56BB3">
      <w:pPr>
        <w:pStyle w:val="Standard"/>
        <w:jc w:val="center"/>
        <w:rPr>
          <w:rFonts w:ascii="Arial" w:hAnsi="Arial" w:cs="Arial"/>
          <w:sz w:val="24"/>
          <w:szCs w:val="24"/>
        </w:rPr>
      </w:pPr>
    </w:p>
    <w:p w:rsidR="00A56BB3" w:rsidRDefault="00A56BB3">
      <w:pPr>
        <w:pStyle w:val="Standard"/>
        <w:rPr>
          <w:rFonts w:ascii="Arial" w:hAnsi="Arial" w:cs="Arial"/>
          <w:sz w:val="24"/>
          <w:szCs w:val="24"/>
        </w:rPr>
      </w:pPr>
    </w:p>
    <w:p w:rsidR="00A56BB3" w:rsidRDefault="00DB47D2">
      <w:pPr>
        <w:pStyle w:val="Standard"/>
        <w:jc w:val="center"/>
      </w:pPr>
      <w:r>
        <w:rPr>
          <w:noProof/>
        </w:rPr>
        <w:drawing>
          <wp:inline distT="0" distB="0" distL="0" distR="0">
            <wp:extent cx="3957843" cy="1537920"/>
            <wp:effectExtent l="0" t="0" r="4557" b="513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7843" cy="15379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A56BB3">
      <w:pPr>
        <w:pStyle w:val="Titolo2"/>
        <w:jc w:val="center"/>
        <w:rPr>
          <w:rFonts w:ascii="Arial" w:hAnsi="Arial" w:cs="Arial"/>
          <w:color w:val="00000A"/>
          <w:sz w:val="24"/>
          <w:szCs w:val="24"/>
        </w:rPr>
      </w:pPr>
    </w:p>
    <w:p w:rsidR="00A56BB3" w:rsidRDefault="00DB47D2">
      <w:pPr>
        <w:pStyle w:val="Titolo2"/>
        <w:jc w:val="center"/>
      </w:pPr>
      <w:r>
        <w:rPr>
          <w:rFonts w:ascii="Arial" w:hAnsi="Arial" w:cs="Arial"/>
          <w:color w:val="00000A"/>
          <w:sz w:val="24"/>
          <w:szCs w:val="24"/>
        </w:rPr>
        <w:t>METODOLOGIA DELLA RICERCA EDUCATIVA</w:t>
      </w:r>
    </w:p>
    <w:p w:rsidR="00A56BB3" w:rsidRDefault="00DB47D2">
      <w:pPr>
        <w:pStyle w:val="Titolo2"/>
        <w:jc w:val="center"/>
      </w:pPr>
      <w:r>
        <w:rPr>
          <w:rFonts w:ascii="Arial" w:hAnsi="Arial" w:cs="Arial"/>
          <w:color w:val="00000A"/>
          <w:sz w:val="24"/>
          <w:szCs w:val="24"/>
        </w:rPr>
        <w:t>Professore: Roberto Trinchero</w:t>
      </w:r>
    </w:p>
    <w:p w:rsidR="00A56BB3" w:rsidRDefault="00A56BB3">
      <w:pPr>
        <w:pStyle w:val="Titolo1"/>
        <w:jc w:val="center"/>
        <w:rPr>
          <w:rFonts w:ascii="Arial" w:hAnsi="Arial" w:cs="Arial"/>
          <w:sz w:val="24"/>
          <w:szCs w:val="24"/>
        </w:rPr>
      </w:pPr>
    </w:p>
    <w:p w:rsidR="00A56BB3" w:rsidRDefault="00A56BB3">
      <w:pPr>
        <w:pStyle w:val="Titolo1"/>
        <w:jc w:val="center"/>
        <w:rPr>
          <w:rFonts w:ascii="Arial" w:hAnsi="Arial" w:cs="Arial"/>
          <w:b/>
          <w:color w:val="00000A"/>
        </w:rPr>
      </w:pPr>
    </w:p>
    <w:p w:rsidR="00A56BB3" w:rsidRDefault="00A56BB3">
      <w:pPr>
        <w:pStyle w:val="Titolo1"/>
        <w:jc w:val="center"/>
        <w:rPr>
          <w:rFonts w:ascii="Arial" w:hAnsi="Arial" w:cs="Arial"/>
          <w:b/>
          <w:color w:val="00000A"/>
        </w:rPr>
      </w:pPr>
    </w:p>
    <w:p w:rsidR="00A56BB3" w:rsidRDefault="00A56BB3">
      <w:pPr>
        <w:pStyle w:val="Titolo1"/>
        <w:jc w:val="center"/>
        <w:rPr>
          <w:rFonts w:ascii="Arial" w:hAnsi="Arial" w:cs="Arial"/>
          <w:b/>
          <w:color w:val="00000A"/>
        </w:rPr>
      </w:pPr>
    </w:p>
    <w:p w:rsidR="00A56BB3" w:rsidRDefault="00DB47D2">
      <w:pPr>
        <w:pStyle w:val="Titolo1"/>
        <w:jc w:val="center"/>
      </w:pPr>
      <w:r>
        <w:rPr>
          <w:rFonts w:ascii="Arial" w:hAnsi="Arial" w:cs="Arial"/>
          <w:b/>
          <w:color w:val="00000A"/>
        </w:rPr>
        <w:t>“RELAZIONE TRA ABUSO DI ALCOL E POST-PENSIONAMENTO”</w:t>
      </w: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A56BB3">
      <w:pPr>
        <w:pStyle w:val="Titolo1"/>
        <w:jc w:val="center"/>
        <w:rPr>
          <w:rFonts w:ascii="Arial" w:hAnsi="Arial" w:cs="Arial"/>
        </w:rPr>
      </w:pP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DB47D2">
      <w:pPr>
        <w:pStyle w:val="Standard"/>
      </w:pPr>
      <w:r>
        <w:rPr>
          <w:rFonts w:ascii="Arial" w:hAnsi="Arial" w:cs="Arial"/>
          <w:sz w:val="24"/>
          <w:szCs w:val="24"/>
        </w:rPr>
        <w:t>Componenti del gruppo:</w:t>
      </w:r>
    </w:p>
    <w:p w:rsidR="00A56BB3" w:rsidRDefault="00DB47D2">
      <w:pPr>
        <w:pStyle w:val="Standard"/>
      </w:pPr>
      <w:r>
        <w:rPr>
          <w:rFonts w:ascii="Arial" w:hAnsi="Arial" w:cs="Arial"/>
          <w:sz w:val="24"/>
          <w:szCs w:val="24"/>
        </w:rPr>
        <w:t>Riccardo Bruno 851873</w:t>
      </w:r>
    </w:p>
    <w:p w:rsidR="00A56BB3" w:rsidRDefault="00DB47D2">
      <w:pPr>
        <w:pStyle w:val="Standard"/>
      </w:pPr>
      <w:r>
        <w:rPr>
          <w:rFonts w:ascii="Arial" w:hAnsi="Arial" w:cs="Arial"/>
          <w:sz w:val="24"/>
          <w:szCs w:val="24"/>
        </w:rPr>
        <w:t>Elisa Filippi 835575</w:t>
      </w:r>
    </w:p>
    <w:p w:rsidR="00A56BB3" w:rsidRDefault="00DB47D2">
      <w:pPr>
        <w:pStyle w:val="Standard"/>
      </w:pPr>
      <w:r>
        <w:rPr>
          <w:rFonts w:ascii="Arial" w:hAnsi="Arial" w:cs="Arial"/>
          <w:sz w:val="24"/>
          <w:szCs w:val="24"/>
        </w:rPr>
        <w:t>Federica Policano 840915</w:t>
      </w:r>
    </w:p>
    <w:p w:rsidR="00A56BB3" w:rsidRDefault="00DB47D2">
      <w:pPr>
        <w:pStyle w:val="Standard"/>
        <w:spacing w:line="720" w:lineRule="auto"/>
      </w:pPr>
      <w:r>
        <w:rPr>
          <w:rFonts w:ascii="Arial" w:hAnsi="Arial" w:cs="Arial"/>
          <w:b/>
          <w:sz w:val="32"/>
          <w:szCs w:val="32"/>
        </w:rPr>
        <w:lastRenderedPageBreak/>
        <w:t>INDICE</w:t>
      </w:r>
    </w:p>
    <w:p w:rsidR="00A56BB3" w:rsidRDefault="00DB47D2">
      <w:pPr>
        <w:pStyle w:val="Paragrafoelenco"/>
        <w:numPr>
          <w:ilvl w:val="0"/>
          <w:numId w:val="9"/>
        </w:numPr>
        <w:spacing w:line="720" w:lineRule="auto"/>
      </w:pPr>
      <w:r>
        <w:rPr>
          <w:rFonts w:ascii="Arial" w:hAnsi="Arial" w:cs="Arial"/>
          <w:b/>
          <w:sz w:val="24"/>
          <w:szCs w:val="24"/>
        </w:rPr>
        <w:t xml:space="preserve">Pag. 3 </w:t>
      </w:r>
      <w:r>
        <w:rPr>
          <w:rFonts w:ascii="Arial" w:hAnsi="Arial" w:cs="Arial"/>
          <w:sz w:val="24"/>
          <w:szCs w:val="24"/>
        </w:rPr>
        <w:t xml:space="preserve">    Tema;</w:t>
      </w:r>
    </w:p>
    <w:p w:rsidR="00A56BB3" w:rsidRDefault="00DB47D2">
      <w:pPr>
        <w:pStyle w:val="Paragrafoelenco"/>
        <w:spacing w:line="720" w:lineRule="auto"/>
      </w:pPr>
      <w:r>
        <w:rPr>
          <w:rFonts w:ascii="Arial" w:hAnsi="Arial" w:cs="Arial"/>
          <w:sz w:val="24"/>
          <w:szCs w:val="24"/>
        </w:rPr>
        <w:t xml:space="preserve">                Problema conoscitivo;</w:t>
      </w:r>
    </w:p>
    <w:p w:rsidR="00A56BB3" w:rsidRDefault="00DB47D2">
      <w:pPr>
        <w:pStyle w:val="Paragrafoelenco"/>
        <w:spacing w:line="720" w:lineRule="auto"/>
      </w:pPr>
      <w:r>
        <w:rPr>
          <w:rFonts w:ascii="Arial" w:hAnsi="Arial" w:cs="Arial"/>
          <w:sz w:val="24"/>
          <w:szCs w:val="24"/>
        </w:rPr>
        <w:t xml:space="preserve">                Obiettivo di ricerca;</w:t>
      </w:r>
    </w:p>
    <w:p w:rsidR="00A56BB3" w:rsidRDefault="00DB47D2">
      <w:pPr>
        <w:pStyle w:val="Paragrafoelenco"/>
        <w:spacing w:line="720" w:lineRule="auto"/>
      </w:pPr>
      <w:r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>
        <w:rPr>
          <w:rFonts w:ascii="Arial" w:hAnsi="Arial" w:cs="Arial"/>
          <w:sz w:val="24"/>
          <w:szCs w:val="24"/>
        </w:rPr>
        <w:t>Quadro teorico;</w:t>
      </w:r>
    </w:p>
    <w:p w:rsidR="00A56BB3" w:rsidRDefault="00A56BB3">
      <w:pPr>
        <w:pStyle w:val="Paragrafoelenco"/>
        <w:spacing w:line="720" w:lineRule="auto"/>
      </w:pPr>
    </w:p>
    <w:p w:rsidR="00A56BB3" w:rsidRDefault="00A56BB3">
      <w:pPr>
        <w:pStyle w:val="Paragrafoelenco"/>
        <w:spacing w:line="720" w:lineRule="auto"/>
      </w:pPr>
    </w:p>
    <w:p w:rsidR="00A56BB3" w:rsidRDefault="00DB47D2">
      <w:pPr>
        <w:pStyle w:val="Paragrafoelenco"/>
        <w:numPr>
          <w:ilvl w:val="0"/>
          <w:numId w:val="9"/>
        </w:numPr>
        <w:spacing w:line="720" w:lineRule="auto"/>
      </w:pPr>
      <w:proofErr w:type="spellStart"/>
      <w:r>
        <w:rPr>
          <w:rFonts w:ascii="Arial" w:hAnsi="Arial" w:cs="Arial"/>
          <w:b/>
          <w:bCs/>
          <w:sz w:val="24"/>
          <w:szCs w:val="24"/>
        </w:rPr>
        <w:t>Pag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5       </w:t>
      </w:r>
      <w:r>
        <w:rPr>
          <w:rFonts w:ascii="Arial" w:hAnsi="Arial" w:cs="Arial"/>
          <w:sz w:val="24"/>
          <w:szCs w:val="24"/>
        </w:rPr>
        <w:t>Mappa concettuale</w:t>
      </w:r>
      <w:r>
        <w:rPr>
          <w:rFonts w:ascii="Arial" w:hAnsi="Arial" w:cs="Arial"/>
          <w:b/>
          <w:bCs/>
          <w:sz w:val="24"/>
          <w:szCs w:val="24"/>
        </w:rPr>
        <w:t>;</w:t>
      </w:r>
    </w:p>
    <w:p w:rsidR="00A56BB3" w:rsidRDefault="00A56BB3">
      <w:pPr>
        <w:pStyle w:val="Paragrafoelenco"/>
        <w:spacing w:line="720" w:lineRule="auto"/>
        <w:ind w:left="0"/>
      </w:pPr>
    </w:p>
    <w:p w:rsidR="00A56BB3" w:rsidRDefault="00A56BB3">
      <w:pPr>
        <w:pStyle w:val="Paragrafoelenco"/>
        <w:spacing w:line="720" w:lineRule="auto"/>
      </w:pPr>
    </w:p>
    <w:p w:rsidR="00A56BB3" w:rsidRDefault="00DB47D2">
      <w:pPr>
        <w:pStyle w:val="Paragrafoelenco"/>
        <w:numPr>
          <w:ilvl w:val="0"/>
          <w:numId w:val="10"/>
        </w:numPr>
        <w:spacing w:line="720" w:lineRule="auto"/>
      </w:pPr>
      <w:r>
        <w:rPr>
          <w:rFonts w:ascii="Arial" w:hAnsi="Arial" w:cs="Arial"/>
          <w:b/>
          <w:sz w:val="24"/>
          <w:szCs w:val="24"/>
        </w:rPr>
        <w:t xml:space="preserve">Pag. 6     </w:t>
      </w:r>
      <w:r>
        <w:rPr>
          <w:rFonts w:ascii="Arial" w:hAnsi="Arial" w:cs="Arial"/>
          <w:sz w:val="24"/>
          <w:szCs w:val="24"/>
        </w:rPr>
        <w:t>Formulazione delle ipotesi,</w:t>
      </w:r>
    </w:p>
    <w:p w:rsidR="00A56BB3" w:rsidRDefault="00DB47D2">
      <w:pPr>
        <w:pStyle w:val="Paragrafoelenco"/>
        <w:spacing w:line="720" w:lineRule="auto"/>
      </w:pPr>
      <w:r>
        <w:rPr>
          <w:rFonts w:ascii="Arial" w:hAnsi="Arial" w:cs="Arial"/>
          <w:sz w:val="24"/>
          <w:szCs w:val="24"/>
        </w:rPr>
        <w:t xml:space="preserve">     Operazionalizzazione dei fattori coinvolti nelle ipotesi e costruzione delle       variabili;</w:t>
      </w:r>
    </w:p>
    <w:p w:rsidR="00A56BB3" w:rsidRDefault="00DB47D2">
      <w:pPr>
        <w:pStyle w:val="Paragrafoelenco"/>
        <w:numPr>
          <w:ilvl w:val="0"/>
          <w:numId w:val="2"/>
        </w:numPr>
        <w:spacing w:line="720" w:lineRule="auto"/>
      </w:pPr>
      <w:r>
        <w:rPr>
          <w:rFonts w:ascii="Arial" w:hAnsi="Arial" w:cs="Arial"/>
          <w:b/>
          <w:sz w:val="24"/>
          <w:szCs w:val="24"/>
        </w:rPr>
        <w:t xml:space="preserve">Pag. 7    </w:t>
      </w:r>
      <w:r>
        <w:rPr>
          <w:rFonts w:ascii="Arial" w:hAnsi="Arial" w:cs="Arial"/>
          <w:sz w:val="24"/>
          <w:szCs w:val="24"/>
        </w:rPr>
        <w:t xml:space="preserve">Scelta e costruzione dello strumento di </w:t>
      </w:r>
      <w:r>
        <w:rPr>
          <w:rFonts w:ascii="Arial" w:hAnsi="Arial" w:cs="Arial"/>
          <w:sz w:val="24"/>
          <w:szCs w:val="24"/>
        </w:rPr>
        <w:t>rilevazione dei dati;</w:t>
      </w:r>
    </w:p>
    <w:p w:rsidR="00A56BB3" w:rsidRDefault="00A56BB3">
      <w:pPr>
        <w:pStyle w:val="Paragrafoelenco"/>
        <w:spacing w:line="720" w:lineRule="auto"/>
      </w:pPr>
    </w:p>
    <w:p w:rsidR="00A56BB3" w:rsidRDefault="00A56BB3">
      <w:pPr>
        <w:pStyle w:val="Paragrafoelenco"/>
        <w:spacing w:line="720" w:lineRule="auto"/>
      </w:pPr>
    </w:p>
    <w:p w:rsidR="00A56BB3" w:rsidRDefault="00DB47D2">
      <w:pPr>
        <w:pStyle w:val="Paragrafoelenco"/>
        <w:numPr>
          <w:ilvl w:val="0"/>
          <w:numId w:val="2"/>
        </w:numPr>
        <w:spacing w:line="720" w:lineRule="auto"/>
      </w:pPr>
      <w:r>
        <w:rPr>
          <w:rFonts w:ascii="Arial" w:hAnsi="Arial" w:cs="Arial"/>
          <w:b/>
          <w:sz w:val="24"/>
          <w:szCs w:val="24"/>
        </w:rPr>
        <w:t xml:space="preserve">Pag.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10  </w:t>
      </w:r>
      <w:r>
        <w:rPr>
          <w:rFonts w:ascii="Arial" w:hAnsi="Arial" w:cs="Arial"/>
          <w:sz w:val="24"/>
          <w:szCs w:val="24"/>
        </w:rPr>
        <w:t>Campione</w:t>
      </w:r>
      <w:proofErr w:type="gramEnd"/>
      <w:r>
        <w:rPr>
          <w:rFonts w:ascii="Arial" w:hAnsi="Arial" w:cs="Arial"/>
          <w:sz w:val="24"/>
          <w:szCs w:val="24"/>
        </w:rPr>
        <w:t xml:space="preserve"> e popolazione di riferimento;</w:t>
      </w:r>
    </w:p>
    <w:p w:rsidR="00A56BB3" w:rsidRDefault="00DB47D2">
      <w:pPr>
        <w:pStyle w:val="Paragrafoelenco"/>
        <w:spacing w:line="720" w:lineRule="auto"/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>Rilevazione dei dati;</w:t>
      </w:r>
    </w:p>
    <w:p w:rsidR="00A56BB3" w:rsidRDefault="00DB47D2">
      <w:pPr>
        <w:pStyle w:val="Paragrafoelenco"/>
        <w:spacing w:line="720" w:lineRule="auto"/>
      </w:pPr>
      <w:r>
        <w:rPr>
          <w:rFonts w:ascii="Arial" w:hAnsi="Arial" w:cs="Arial"/>
          <w:sz w:val="24"/>
          <w:szCs w:val="24"/>
        </w:rPr>
        <w:t xml:space="preserve">               Codifica del dato empirico e caricamento su calcolatore;</w:t>
      </w:r>
    </w:p>
    <w:p w:rsidR="00A56BB3" w:rsidRDefault="00A56BB3">
      <w:pPr>
        <w:pStyle w:val="Paragrafoelenco"/>
        <w:spacing w:line="720" w:lineRule="auto"/>
      </w:pPr>
    </w:p>
    <w:p w:rsidR="00A56BB3" w:rsidRDefault="00A56BB3">
      <w:pPr>
        <w:pStyle w:val="Paragrafoelenco"/>
        <w:spacing w:line="720" w:lineRule="auto"/>
      </w:pPr>
    </w:p>
    <w:p w:rsidR="00A56BB3" w:rsidRDefault="00DB47D2">
      <w:pPr>
        <w:pStyle w:val="Paragrafoelenco"/>
        <w:numPr>
          <w:ilvl w:val="0"/>
          <w:numId w:val="2"/>
        </w:numPr>
        <w:spacing w:line="720" w:lineRule="auto"/>
      </w:pPr>
      <w:r>
        <w:rPr>
          <w:rFonts w:ascii="Arial" w:hAnsi="Arial" w:cs="Arial"/>
          <w:b/>
          <w:sz w:val="24"/>
          <w:szCs w:val="24"/>
        </w:rPr>
        <w:t xml:space="preserve">Pag.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14  </w:t>
      </w:r>
      <w:r>
        <w:rPr>
          <w:rFonts w:ascii="Arial" w:hAnsi="Arial" w:cs="Arial"/>
          <w:sz w:val="24"/>
          <w:szCs w:val="24"/>
        </w:rPr>
        <w:t>Analisi</w:t>
      </w:r>
      <w:proofErr w:type="gramEnd"/>
      <w:r>
        <w:rPr>
          <w:rFonts w:ascii="Arial" w:hAnsi="Arial" w:cs="Arial"/>
          <w:sz w:val="24"/>
          <w:szCs w:val="24"/>
        </w:rPr>
        <w:t xml:space="preserve"> dei dati e controllo delle ipotesi iniziali;</w:t>
      </w:r>
    </w:p>
    <w:p w:rsidR="00A56BB3" w:rsidRDefault="00A56BB3">
      <w:pPr>
        <w:pStyle w:val="Paragrafoelenco"/>
        <w:spacing w:line="720" w:lineRule="auto"/>
      </w:pPr>
    </w:p>
    <w:p w:rsidR="00A56BB3" w:rsidRDefault="00A56BB3">
      <w:pPr>
        <w:pStyle w:val="Paragrafoelenco"/>
        <w:spacing w:line="720" w:lineRule="auto"/>
      </w:pPr>
    </w:p>
    <w:p w:rsidR="00A56BB3" w:rsidRDefault="00DB47D2">
      <w:pPr>
        <w:pStyle w:val="Paragrafoelenco"/>
        <w:numPr>
          <w:ilvl w:val="0"/>
          <w:numId w:val="2"/>
        </w:numPr>
        <w:spacing w:line="720" w:lineRule="auto"/>
      </w:pPr>
      <w:r>
        <w:rPr>
          <w:rFonts w:ascii="Arial" w:hAnsi="Arial" w:cs="Arial"/>
          <w:b/>
          <w:bCs/>
          <w:sz w:val="24"/>
          <w:szCs w:val="24"/>
        </w:rPr>
        <w:t xml:space="preserve">Pag.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Interpretazione</w:t>
      </w:r>
      <w:proofErr w:type="gramEnd"/>
      <w:r>
        <w:rPr>
          <w:rFonts w:ascii="Arial" w:hAnsi="Arial" w:cs="Arial"/>
          <w:sz w:val="24"/>
          <w:szCs w:val="24"/>
        </w:rPr>
        <w:t xml:space="preserve"> dei risultati;</w:t>
      </w:r>
    </w:p>
    <w:p w:rsidR="00A56BB3" w:rsidRDefault="00DB47D2">
      <w:pPr>
        <w:pStyle w:val="Paragrafoelenco"/>
        <w:spacing w:line="72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Riflessioni.</w:t>
      </w:r>
    </w:p>
    <w:p w:rsidR="00A56BB3" w:rsidRDefault="00DB47D2">
      <w:pPr>
        <w:pStyle w:val="Paragrafoelenco"/>
        <w:numPr>
          <w:ilvl w:val="0"/>
          <w:numId w:val="11"/>
        </w:numPr>
        <w:spacing w:line="720" w:lineRule="auto"/>
      </w:pPr>
      <w:r>
        <w:rPr>
          <w:rFonts w:ascii="Arial" w:hAnsi="Arial" w:cs="Arial"/>
          <w:b/>
          <w:sz w:val="24"/>
          <w:szCs w:val="24"/>
        </w:rPr>
        <w:t xml:space="preserve">Pag.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16  </w:t>
      </w:r>
      <w:r>
        <w:rPr>
          <w:rFonts w:ascii="Arial" w:hAnsi="Arial" w:cs="Arial"/>
          <w:sz w:val="24"/>
          <w:szCs w:val="24"/>
        </w:rPr>
        <w:t>Sitografia</w:t>
      </w:r>
      <w:proofErr w:type="gramEnd"/>
    </w:p>
    <w:p w:rsidR="00A56BB3" w:rsidRDefault="00A56BB3">
      <w:pPr>
        <w:pStyle w:val="Paragrafoelenco"/>
        <w:spacing w:line="720" w:lineRule="auto"/>
      </w:pPr>
    </w:p>
    <w:p w:rsidR="00A56BB3" w:rsidRDefault="00DB47D2">
      <w:pPr>
        <w:pStyle w:val="Titolo3"/>
        <w:pageBreakBefore/>
      </w:pPr>
      <w:r>
        <w:rPr>
          <w:rFonts w:ascii="Arial" w:hAnsi="Arial" w:cs="Arial"/>
          <w:color w:val="00000A"/>
          <w:sz w:val="28"/>
          <w:szCs w:val="28"/>
          <w:u w:val="single"/>
        </w:rPr>
        <w:lastRenderedPageBreak/>
        <w:t>Tema</w:t>
      </w:r>
    </w:p>
    <w:p w:rsidR="00A56BB3" w:rsidRDefault="00A56BB3">
      <w:pPr>
        <w:pStyle w:val="Titolo3"/>
        <w:rPr>
          <w:color w:val="00000A"/>
        </w:rPr>
      </w:pPr>
    </w:p>
    <w:p w:rsidR="00A56BB3" w:rsidRDefault="00DB47D2">
      <w:pPr>
        <w:pStyle w:val="Titolo3"/>
      </w:pPr>
      <w:r>
        <w:rPr>
          <w:rFonts w:ascii="Arial" w:hAnsi="Arial" w:cs="Arial"/>
          <w:color w:val="00000A"/>
        </w:rPr>
        <w:t>Relazione tra abuso di alcol e post-pensionamento</w:t>
      </w: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DB47D2">
      <w:pPr>
        <w:pStyle w:val="Titolo2"/>
      </w:pPr>
      <w:r>
        <w:rPr>
          <w:rFonts w:ascii="Arial" w:hAnsi="Arial" w:cs="Arial"/>
          <w:color w:val="00000A"/>
          <w:sz w:val="28"/>
          <w:szCs w:val="28"/>
          <w:u w:val="single"/>
        </w:rPr>
        <w:t>Problema conoscitivo</w:t>
      </w:r>
    </w:p>
    <w:p w:rsidR="00A56BB3" w:rsidRDefault="00A56BB3">
      <w:pPr>
        <w:pStyle w:val="Standard"/>
      </w:pPr>
    </w:p>
    <w:p w:rsidR="00A56BB3" w:rsidRDefault="00DB47D2">
      <w:pPr>
        <w:pStyle w:val="Standard"/>
      </w:pPr>
      <w:r>
        <w:rPr>
          <w:rFonts w:ascii="Arial" w:hAnsi="Arial" w:cs="Arial"/>
          <w:sz w:val="24"/>
          <w:szCs w:val="24"/>
        </w:rPr>
        <w:t>Vi è relazione tra l’abuso di alcol e il post-pensionamento?</w:t>
      </w: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DB47D2">
      <w:pPr>
        <w:pStyle w:val="Titolo2"/>
      </w:pPr>
      <w:r>
        <w:rPr>
          <w:rFonts w:ascii="Arial" w:hAnsi="Arial" w:cs="Arial"/>
          <w:color w:val="00000A"/>
          <w:sz w:val="28"/>
          <w:szCs w:val="28"/>
          <w:u w:val="single"/>
        </w:rPr>
        <w:t>Obiettivo di ricerca</w:t>
      </w:r>
    </w:p>
    <w:p w:rsidR="00A56BB3" w:rsidRDefault="00A56BB3">
      <w:pPr>
        <w:pStyle w:val="Standard"/>
        <w:rPr>
          <w:rFonts w:ascii="Arial" w:hAnsi="Arial" w:cs="Arial"/>
        </w:rPr>
      </w:pPr>
    </w:p>
    <w:p w:rsidR="00A56BB3" w:rsidRDefault="00DB47D2">
      <w:pPr>
        <w:pStyle w:val="Standard"/>
      </w:pPr>
      <w:r>
        <w:rPr>
          <w:rFonts w:ascii="Arial" w:hAnsi="Arial" w:cs="Arial"/>
          <w:sz w:val="24"/>
          <w:szCs w:val="24"/>
        </w:rPr>
        <w:t>Indagare la re</w:t>
      </w:r>
      <w:r>
        <w:rPr>
          <w:rFonts w:ascii="Arial" w:hAnsi="Arial" w:cs="Arial"/>
          <w:sz w:val="24"/>
          <w:szCs w:val="24"/>
        </w:rPr>
        <w:t>lazione che c’è tra l’abuso di alcol e il post-pensionamento</w:t>
      </w:r>
    </w:p>
    <w:p w:rsidR="00A56BB3" w:rsidRDefault="00A56BB3">
      <w:pPr>
        <w:pStyle w:val="Standard"/>
      </w:pPr>
    </w:p>
    <w:p w:rsidR="00A56BB3" w:rsidRDefault="00A56BB3">
      <w:pPr>
        <w:pStyle w:val="Standard"/>
      </w:pPr>
    </w:p>
    <w:p w:rsidR="00A56BB3" w:rsidRDefault="00DB47D2">
      <w:pPr>
        <w:pStyle w:val="Titolo2"/>
      </w:pPr>
      <w:r>
        <w:rPr>
          <w:rFonts w:ascii="Arial" w:hAnsi="Arial" w:cs="Arial"/>
          <w:color w:val="00000A"/>
          <w:sz w:val="28"/>
          <w:szCs w:val="28"/>
          <w:u w:val="single"/>
        </w:rPr>
        <w:t>Quadro teorico</w:t>
      </w:r>
    </w:p>
    <w:p w:rsidR="00A56BB3" w:rsidRDefault="00A56BB3">
      <w:pPr>
        <w:pStyle w:val="Standard"/>
      </w:pP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 xml:space="preserve">L’obiettivo conoscitivo della nostra ricerca è stabilire se esista una relazione tra post-pensionamento e abuso di alcol, con particolare attenzione all’alcolismo tardivo </w:t>
      </w:r>
      <w:r>
        <w:rPr>
          <w:rFonts w:ascii="Arial" w:hAnsi="Arial" w:cs="Arial"/>
          <w:sz w:val="24"/>
          <w:szCs w:val="24"/>
        </w:rPr>
        <w:t>dell’anziano, al fine di elaborare nuove forme di prevenzione e progetti di tipo educativo. All’interno della nostra ricerca abbiamo deciso di circoscrivere l’unità di raccolta dati focalizzandoci sugli individui a cui viene erogata una pensione di vecchia</w:t>
      </w:r>
      <w:r>
        <w:rPr>
          <w:rFonts w:ascii="Arial" w:hAnsi="Arial" w:cs="Arial"/>
          <w:sz w:val="24"/>
          <w:szCs w:val="24"/>
        </w:rPr>
        <w:t xml:space="preserve">ia (escludendo le pensioni che possono essere conferite anche a individui non necessariamente inscrivibili nella categoria “anziani”). Per definire esaustivamente il termine “abuso” di alcol abbiamo fatto riferimento alla definizione fornita </w:t>
      </w:r>
      <w:bookmarkStart w:id="0" w:name="_Hlk485889412"/>
      <w:r>
        <w:rPr>
          <w:rFonts w:ascii="Arial" w:hAnsi="Arial" w:cs="Arial"/>
          <w:sz w:val="24"/>
          <w:szCs w:val="24"/>
        </w:rPr>
        <w:t>dalle linee gu</w:t>
      </w:r>
      <w:r>
        <w:rPr>
          <w:rFonts w:ascii="Arial" w:hAnsi="Arial" w:cs="Arial"/>
          <w:sz w:val="24"/>
          <w:szCs w:val="24"/>
        </w:rPr>
        <w:t>ida provenienti dallo Stato (facilmente reperibili sul sito del governo riferente alla salute), riguardanti gli anziani e il quantitativo di alcol che essi possono bere al giorno</w:t>
      </w:r>
      <w:bookmarkEnd w:id="0"/>
      <w:r>
        <w:rPr>
          <w:rFonts w:ascii="Arial" w:hAnsi="Arial" w:cs="Arial"/>
          <w:sz w:val="24"/>
          <w:szCs w:val="24"/>
        </w:rPr>
        <w:t>. Le sopracitate invitano gli anziani a non superare giornalmente 1 unità alco</w:t>
      </w:r>
      <w:r>
        <w:rPr>
          <w:rFonts w:ascii="Arial" w:hAnsi="Arial" w:cs="Arial"/>
          <w:sz w:val="24"/>
          <w:szCs w:val="24"/>
        </w:rPr>
        <w:t>lica (corrispondente a 12 grammi di alcol). La quantità limite consigliata per i giovani adulti (per gli uomini 4 unità al giorno, dunque il quadruplo) si rivela essere nettamente inferiore. Questa grande differenza è dovuta alle vulnerabilità fisiche a cu</w:t>
      </w:r>
      <w:r>
        <w:rPr>
          <w:rFonts w:ascii="Arial" w:hAnsi="Arial" w:cs="Arial"/>
          <w:sz w:val="24"/>
          <w:szCs w:val="24"/>
        </w:rPr>
        <w:t>i gli anziani, con il passare del tempo, sono facilmente soggetti come: calo del rapporto liquidi/grassi corporei (che comporta difficoltà a smaltire l'alcol ingerito); calo del flusso sanguigno (rischio di danni seri al fegato); calo di efficacia degli en</w:t>
      </w:r>
      <w:r>
        <w:rPr>
          <w:rFonts w:ascii="Arial" w:hAnsi="Arial" w:cs="Arial"/>
          <w:sz w:val="24"/>
          <w:szCs w:val="24"/>
        </w:rPr>
        <w:t xml:space="preserve">zimi epatici; calo della reattività cerebrale. Vengono identificate, sempre secondo le linee guida previste dalle norme dello Stato italiano e dall’ISS (Istituto Superiore della Sanità), diverse modalità di assunzione dell’alcol definite problematiche: 1. </w:t>
      </w:r>
      <w:r>
        <w:rPr>
          <w:rFonts w:ascii="Arial" w:hAnsi="Arial" w:cs="Arial"/>
          <w:sz w:val="24"/>
          <w:szCs w:val="24"/>
        </w:rPr>
        <w:t>Consumo non moderato (giornaliero di più di un'unità alcolica al giorno); 2. Consumo al di fuori dei pasti; 3. “</w:t>
      </w:r>
      <w:proofErr w:type="spellStart"/>
      <w:r>
        <w:rPr>
          <w:rFonts w:ascii="Arial" w:hAnsi="Arial" w:cs="Arial"/>
          <w:sz w:val="24"/>
          <w:szCs w:val="24"/>
        </w:rPr>
        <w:t>Binge</w:t>
      </w:r>
      <w:proofErr w:type="spellEnd"/>
      <w:r>
        <w:rPr>
          <w:rFonts w:ascii="Arial" w:hAnsi="Arial" w:cs="Arial"/>
          <w:sz w:val="24"/>
          <w:szCs w:val="24"/>
        </w:rPr>
        <w:t xml:space="preserve"> drinking” </w:t>
      </w:r>
      <w:r>
        <w:rPr>
          <w:rFonts w:ascii="Arial" w:hAnsi="Arial" w:cs="Arial"/>
          <w:sz w:val="24"/>
          <w:szCs w:val="24"/>
        </w:rPr>
        <w:lastRenderedPageBreak/>
        <w:t xml:space="preserve">(consumo di 5, o più, bicchieri di bevande alcoliche in un'unica occasione). I dati ISTAT del 2015 rispetto alla ricerca “Uso e </w:t>
      </w:r>
      <w:r>
        <w:rPr>
          <w:rFonts w:ascii="Arial" w:hAnsi="Arial" w:cs="Arial"/>
          <w:sz w:val="24"/>
          <w:szCs w:val="24"/>
        </w:rPr>
        <w:t xml:space="preserve">abuso di alcool in Italia” evidenziano che il 38,6% degli uomini over 65 è da considerare a rischio dipendenza da alcol, mentre per le donne la percentuale è solamente dell'8,9 %. Per entrambi i generi le bevande più consumate, in Italia, in questa fascia </w:t>
      </w:r>
      <w:r>
        <w:rPr>
          <w:rFonts w:ascii="Arial" w:hAnsi="Arial" w:cs="Arial"/>
          <w:sz w:val="24"/>
          <w:szCs w:val="24"/>
        </w:rPr>
        <w:t xml:space="preserve">d’età, sono: il vino, seguito dalla birra ed infine da alcolici utilizzati  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3696480</wp:posOffset>
            </wp:positionH>
            <wp:positionV relativeFrom="paragraph">
              <wp:posOffset>1591202</wp:posOffset>
            </wp:positionV>
            <wp:extent cx="2625836" cy="1351803"/>
            <wp:effectExtent l="0" t="0" r="3064" b="747"/>
            <wp:wrapTight wrapText="bothSides">
              <wp:wrapPolygon edited="0">
                <wp:start x="0" y="0"/>
                <wp:lineTo x="0" y="21316"/>
                <wp:lineTo x="21469" y="21316"/>
                <wp:lineTo x="21469" y="0"/>
                <wp:lineTo x="0" y="0"/>
              </wp:wrapPolygon>
            </wp:wrapTight>
            <wp:docPr id="2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5836" cy="13518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prevalentemente per gli aperitivi (Campari, Spritz, Prosecco ecc.). Per combattere questa tendenza la prevenzione risulta un ottimo strumento. Non tutte le persone anziane sono </w:t>
      </w:r>
      <w:r>
        <w:rPr>
          <w:rFonts w:ascii="Arial" w:hAnsi="Arial" w:cs="Arial"/>
          <w:sz w:val="24"/>
          <w:szCs w:val="24"/>
        </w:rPr>
        <w:t xml:space="preserve">consapevoli che il consumo di alcolici comporti dei rischi, i quali aumentano ulteriormente con l’avanzare dell’età. Diversi enti offrono servizi di tipo educativo al fine di sensibilizzare rispetto questa tematica, attraverso incontri, conferenze e linee </w:t>
      </w:r>
      <w:r>
        <w:rPr>
          <w:rFonts w:ascii="Arial" w:hAnsi="Arial" w:cs="Arial"/>
          <w:sz w:val="24"/>
          <w:szCs w:val="24"/>
        </w:rPr>
        <w:t>di riferimento per gli operatori e per gli utenti. Un valido esempio è quello della campagna “Alcool e anziani, un bicchiere in meno un momento in più” indetta dalla regione Emilia Romagna nel 2014, la quale ha avuto ottimi esiti. Come afferma il docente e</w:t>
      </w:r>
      <w:r>
        <w:rPr>
          <w:rFonts w:ascii="Arial" w:hAnsi="Arial" w:cs="Arial"/>
          <w:sz w:val="24"/>
          <w:szCs w:val="24"/>
        </w:rPr>
        <w:t xml:space="preserve"> Dott. Giovanni Cristianini (geriatra e gerontologo) responsabile di scritti e siti che trattano la materia, le motivazioni che spingono gli anziani all’abuso di alcolici sono varie e in base a queste emergono due grandi categorie: gli alcolisti tardivi e </w:t>
      </w:r>
      <w:r>
        <w:rPr>
          <w:rFonts w:ascii="Arial" w:hAnsi="Arial" w:cs="Arial"/>
          <w:sz w:val="24"/>
          <w:szCs w:val="24"/>
        </w:rPr>
        <w:t>i non tardivi. I non tardivi sono coloro che consumavano inadeguatamente alcolici anche prima di essere esposti a fattori di stress psicosociale. I tardivi sono quegli individui che precedentemente a lutti, decadimento fisico o prima della pensione, non av</w:t>
      </w:r>
      <w:r>
        <w:rPr>
          <w:rFonts w:ascii="Arial" w:hAnsi="Arial" w:cs="Arial"/>
          <w:sz w:val="24"/>
          <w:szCs w:val="24"/>
        </w:rPr>
        <w:t>evano mai avuto rapporti regolari e continuativi con l’alcol, ma successivamente ne hanno iniziato a far uso come fosse una sorta di medicina contro la situazione generatrice di stress. Questo gruppo rappresenta 1/3 dei casi presenti e si può combattere no</w:t>
      </w:r>
      <w:r>
        <w:rPr>
          <w:rFonts w:ascii="Arial" w:hAnsi="Arial" w:cs="Arial"/>
          <w:sz w:val="24"/>
          <w:szCs w:val="24"/>
        </w:rPr>
        <w:t xml:space="preserve">n solo con la prevenzione e la comunicazione dei rischi, ma anche tramite attività di socializzazione e di cittadinanza attiva (come le attività organizzate nel quartiere Mirafiori di Torino, che hanno ricevuto grande partecipazione da parte di anziani in </w:t>
      </w:r>
      <w:r>
        <w:rPr>
          <w:rFonts w:ascii="Arial" w:hAnsi="Arial" w:cs="Arial"/>
          <w:sz w:val="24"/>
          <w:szCs w:val="24"/>
        </w:rPr>
        <w:t>pensione). Oltre a fattori più facilmente riconoscibili dai familiari come lutti o solitudine, gli anziani dopo il pensionamento sono attratti dall'alcol anche solo per combattere problemi quotidiani come il proprio decadimento fisico, il sentirsi senza sc</w:t>
      </w:r>
      <w:r>
        <w:rPr>
          <w:rFonts w:ascii="Arial" w:hAnsi="Arial" w:cs="Arial"/>
          <w:sz w:val="24"/>
          <w:szCs w:val="24"/>
        </w:rPr>
        <w:t>opo, l'eccessivo tempo libero. Vi sono diverse abitudini riguardo agli orari degli anziani nell’approcciarsi alla sostanza in maniera sistematica: appena svegli, durante il pranzo o prima di dormire. L’approccio sistematico è caratterizzato da una mancanza</w:t>
      </w:r>
      <w:r>
        <w:rPr>
          <w:rFonts w:ascii="Arial" w:hAnsi="Arial" w:cs="Arial"/>
          <w:sz w:val="24"/>
          <w:szCs w:val="24"/>
        </w:rPr>
        <w:t xml:space="preserve"> di consapevolezza da parte di familiari e amici, poiché gli anziani tendono a nascondersi nel consumare le bevande. Questo comporta una serie di </w:t>
      </w:r>
      <w:r>
        <w:rPr>
          <w:rFonts w:ascii="Arial" w:hAnsi="Arial" w:cs="Arial"/>
          <w:sz w:val="24"/>
          <w:szCs w:val="24"/>
        </w:rPr>
        <w:lastRenderedPageBreak/>
        <w:t xml:space="preserve">ripercussioni cliniche, come ad esempio l’osteoporosi o gli effetti collaterali causati dalla combinazione di </w:t>
      </w:r>
      <w:r>
        <w:rPr>
          <w:rFonts w:ascii="Arial" w:hAnsi="Arial" w:cs="Arial"/>
          <w:sz w:val="24"/>
          <w:szCs w:val="24"/>
        </w:rPr>
        <w:t>alcol e farmaci prescritti dal medico ignaro del problema. Nel 2015, le statistiche ISTAT rispetto alle “condizioni di vita dei pensionati anno 2014/2015”, rivelano che i pensionati sono 16,2 milioni e percepiscono in media un reddito pensionistico lordo d</w:t>
      </w:r>
      <w:r>
        <w:rPr>
          <w:rFonts w:ascii="Arial" w:hAnsi="Arial" w:cs="Arial"/>
          <w:sz w:val="24"/>
          <w:szCs w:val="24"/>
        </w:rPr>
        <w:t>i 17.323 euro. Le donne sono il 52,8% e ricevono in media importi di circa 6 mila euro inferiori a quelli maschili. Le famiglie con pensionati sono stimate in 12,4 milioni; per quasi i due terzi di queste (62,3%) i trasferimenti pensionistici rappresentano</w:t>
      </w:r>
      <w:r>
        <w:rPr>
          <w:rFonts w:ascii="Arial" w:hAnsi="Arial" w:cs="Arial"/>
          <w:sz w:val="24"/>
          <w:szCs w:val="24"/>
        </w:rPr>
        <w:t xml:space="preserve"> oltre il 75% del reddito familiare disponibile (per il 26,5% l’unica fonte di reddito). Le 3 pensioni più erogate nel nostro paese sono: quella di vecchiaia; quella fornita ai superstiti; quella di invalidità civile. La pensione di vecchiaia, su cui è inc</w:t>
      </w:r>
      <w:r>
        <w:rPr>
          <w:rFonts w:ascii="Arial" w:hAnsi="Arial" w:cs="Arial"/>
          <w:sz w:val="24"/>
          <w:szCs w:val="24"/>
        </w:rPr>
        <w:t>entrata la nostra ricerca, si eroga al raggiungimento di una quota data dalla somma tra l'età anagrafica minima richiesta e almeno 35 anni di contributi.</w:t>
      </w:r>
    </w:p>
    <w:p w:rsidR="00A56BB3" w:rsidRDefault="00A56BB3">
      <w:pPr>
        <w:pStyle w:val="Titolo2"/>
        <w:rPr>
          <w:rFonts w:ascii="Arial" w:hAnsi="Arial" w:cs="Arial"/>
          <w:color w:val="00000A"/>
          <w:sz w:val="28"/>
          <w:szCs w:val="28"/>
          <w:u w:val="single"/>
        </w:rPr>
      </w:pPr>
    </w:p>
    <w:p w:rsidR="00A56BB3" w:rsidRDefault="00DB47D2">
      <w:pPr>
        <w:pStyle w:val="Titolo2"/>
      </w:pPr>
      <w:r>
        <w:rPr>
          <w:rFonts w:ascii="Arial" w:hAnsi="Arial" w:cs="Arial"/>
          <w:color w:val="00000A"/>
          <w:sz w:val="28"/>
          <w:szCs w:val="28"/>
          <w:u w:val="single"/>
        </w:rPr>
        <w:t>Mappa concettuale</w:t>
      </w:r>
    </w:p>
    <w:p w:rsidR="00A56BB3" w:rsidRDefault="00A56BB3">
      <w:pPr>
        <w:pStyle w:val="Standard"/>
      </w:pPr>
    </w:p>
    <w:p w:rsidR="00A56BB3" w:rsidRDefault="00DB47D2">
      <w:pPr>
        <w:pStyle w:val="Standard"/>
      </w:pPr>
      <w:r>
        <w:rPr>
          <w:noProof/>
        </w:rPr>
        <w:drawing>
          <wp:inline distT="0" distB="0" distL="0" distR="0">
            <wp:extent cx="6119996" cy="4589638"/>
            <wp:effectExtent l="0" t="0" r="0" b="1412"/>
            <wp:docPr id="3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996" cy="458963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DB47D2">
      <w:pPr>
        <w:pStyle w:val="Titolo2"/>
      </w:pPr>
      <w:r>
        <w:rPr>
          <w:rFonts w:ascii="Arial" w:hAnsi="Arial" w:cs="Arial"/>
          <w:color w:val="00000A"/>
          <w:sz w:val="28"/>
          <w:szCs w:val="28"/>
          <w:u w:val="single"/>
        </w:rPr>
        <w:lastRenderedPageBreak/>
        <w:t>Formulazione delle ipotesi</w:t>
      </w:r>
    </w:p>
    <w:p w:rsidR="00A56BB3" w:rsidRDefault="00A56BB3">
      <w:pPr>
        <w:pStyle w:val="Standard"/>
      </w:pPr>
    </w:p>
    <w:p w:rsidR="00A56BB3" w:rsidRDefault="00DB47D2">
      <w:pPr>
        <w:pStyle w:val="Standard"/>
      </w:pPr>
      <w:r>
        <w:rPr>
          <w:rFonts w:ascii="Arial" w:hAnsi="Arial" w:cs="Arial"/>
          <w:sz w:val="24"/>
          <w:szCs w:val="24"/>
        </w:rPr>
        <w:t>Le ipotesi che hanno guidato la nostra ricerca sono:</w:t>
      </w:r>
    </w:p>
    <w:p w:rsidR="00A56BB3" w:rsidRDefault="00DB47D2">
      <w:pPr>
        <w:pStyle w:val="Paragrafoelenco"/>
        <w:numPr>
          <w:ilvl w:val="0"/>
          <w:numId w:val="12"/>
        </w:numPr>
        <w:spacing w:line="360" w:lineRule="auto"/>
      </w:pPr>
      <w:r>
        <w:rPr>
          <w:rFonts w:ascii="Arial" w:hAnsi="Arial" w:cs="Arial"/>
          <w:sz w:val="24"/>
          <w:szCs w:val="24"/>
        </w:rPr>
        <w:t>Ipotizzo che sussista una relazione tra l’abuso di alcol e il post-pensionamento;</w:t>
      </w:r>
    </w:p>
    <w:p w:rsidR="00A56BB3" w:rsidRDefault="00DB47D2">
      <w:pPr>
        <w:pStyle w:val="Paragrafoelenco"/>
        <w:spacing w:line="360" w:lineRule="auto"/>
      </w:pPr>
      <w:r>
        <w:rPr>
          <w:rFonts w:ascii="Arial" w:hAnsi="Arial" w:cs="Arial"/>
          <w:sz w:val="18"/>
          <w:szCs w:val="24"/>
        </w:rPr>
        <w:t>Le ipotesi che seguono sottintendono l’assunto: “nel post pensionamento”</w:t>
      </w:r>
    </w:p>
    <w:p w:rsidR="00A56BB3" w:rsidRDefault="00DB47D2">
      <w:pPr>
        <w:pStyle w:val="Paragrafoelenco"/>
        <w:numPr>
          <w:ilvl w:val="0"/>
          <w:numId w:val="3"/>
        </w:numPr>
        <w:spacing w:line="360" w:lineRule="auto"/>
      </w:pPr>
      <w:r>
        <w:rPr>
          <w:rFonts w:ascii="Arial" w:hAnsi="Arial" w:cs="Arial"/>
          <w:sz w:val="24"/>
          <w:szCs w:val="24"/>
        </w:rPr>
        <w:t>Ipotizzo che sussista una relazione tra l’abuso di alcol e il vivere da solo;</w:t>
      </w:r>
    </w:p>
    <w:p w:rsidR="00A56BB3" w:rsidRDefault="00DB47D2">
      <w:pPr>
        <w:pStyle w:val="Paragrafoelenco"/>
        <w:numPr>
          <w:ilvl w:val="0"/>
          <w:numId w:val="3"/>
        </w:numPr>
        <w:spacing w:line="360" w:lineRule="auto"/>
      </w:pPr>
      <w:r>
        <w:rPr>
          <w:rFonts w:ascii="Arial" w:hAnsi="Arial" w:cs="Arial"/>
          <w:sz w:val="24"/>
          <w:szCs w:val="24"/>
        </w:rPr>
        <w:t xml:space="preserve">Ipotizzo che sussista </w:t>
      </w:r>
      <w:r>
        <w:rPr>
          <w:rFonts w:ascii="Arial" w:hAnsi="Arial" w:cs="Arial"/>
          <w:sz w:val="24"/>
          <w:szCs w:val="24"/>
        </w:rPr>
        <w:t>una relazione tra l’abuso di alcol e la frequenza di contatto con i parenti;</w:t>
      </w:r>
    </w:p>
    <w:p w:rsidR="00A56BB3" w:rsidRDefault="00DB47D2">
      <w:pPr>
        <w:pStyle w:val="Paragrafoelenco"/>
        <w:numPr>
          <w:ilvl w:val="0"/>
          <w:numId w:val="3"/>
        </w:numPr>
        <w:spacing w:line="360" w:lineRule="auto"/>
      </w:pPr>
      <w:r>
        <w:rPr>
          <w:rFonts w:ascii="Arial" w:hAnsi="Arial" w:cs="Arial"/>
          <w:sz w:val="24"/>
          <w:szCs w:val="24"/>
        </w:rPr>
        <w:t>Ipotizzo che sussista una relazione tra l’abuso di alcol e i luoghi maggiormente frequentati dai soggetti;</w:t>
      </w:r>
    </w:p>
    <w:p w:rsidR="00A56BB3" w:rsidRDefault="00DB47D2">
      <w:pPr>
        <w:pStyle w:val="Paragrafoelenco"/>
        <w:numPr>
          <w:ilvl w:val="0"/>
          <w:numId w:val="3"/>
        </w:numPr>
        <w:spacing w:line="360" w:lineRule="auto"/>
      </w:pPr>
      <w:r>
        <w:rPr>
          <w:rFonts w:ascii="Arial" w:hAnsi="Arial" w:cs="Arial"/>
          <w:sz w:val="24"/>
          <w:szCs w:val="24"/>
        </w:rPr>
        <w:t>Ipotizzo che sussista una relazione tra l’abuso di alcol e la mancata pr</w:t>
      </w:r>
      <w:r>
        <w:rPr>
          <w:rFonts w:ascii="Arial" w:hAnsi="Arial" w:cs="Arial"/>
          <w:sz w:val="24"/>
          <w:szCs w:val="24"/>
        </w:rPr>
        <w:t>evenzione rispetto agli effetti collaterali causati dall’alcol;</w:t>
      </w:r>
    </w:p>
    <w:p w:rsidR="00A56BB3" w:rsidRDefault="00A56BB3">
      <w:pPr>
        <w:pStyle w:val="Standard"/>
        <w:spacing w:line="360" w:lineRule="auto"/>
        <w:rPr>
          <w:rFonts w:ascii="Arial" w:hAnsi="Arial" w:cs="Arial"/>
          <w:sz w:val="24"/>
          <w:szCs w:val="24"/>
        </w:rPr>
      </w:pP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8"/>
          <w:szCs w:val="28"/>
          <w:u w:val="single"/>
        </w:rPr>
        <w:t>Operazionalizzazione dei fattori coinvolti nelle ipotesi e costruzione delle variabili</w:t>
      </w:r>
    </w:p>
    <w:p w:rsidR="00A56BB3" w:rsidRDefault="00DB47D2">
      <w:pPr>
        <w:pStyle w:val="Standard"/>
        <w:numPr>
          <w:ilvl w:val="0"/>
          <w:numId w:val="13"/>
        </w:numPr>
        <w:spacing w:after="0" w:line="360" w:lineRule="atLeast"/>
        <w:jc w:val="both"/>
      </w:pPr>
      <w:r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Nell’operazionalizzazione dei </w:t>
      </w:r>
      <w:r>
        <w:rPr>
          <w:rFonts w:ascii="Arial" w:eastAsia="Times New Roman" w:hAnsi="Arial" w:cs="Arial"/>
          <w:i/>
          <w:color w:val="000000"/>
          <w:sz w:val="24"/>
          <w:szCs w:val="24"/>
          <w:lang w:eastAsia="it-IT"/>
        </w:rPr>
        <w:t>fattori</w:t>
      </w:r>
      <w:r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, ovvero qualsiasi elemento incida su un sistema o un prodotto del </w:t>
      </w:r>
      <w:r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sistema stesso, ci siamo serviti dei seguenti </w:t>
      </w:r>
      <w:r>
        <w:rPr>
          <w:rFonts w:ascii="Arial" w:eastAsia="Times New Roman" w:hAnsi="Arial" w:cs="Arial"/>
          <w:i/>
          <w:color w:val="000000"/>
          <w:sz w:val="24"/>
          <w:szCs w:val="24"/>
          <w:lang w:eastAsia="it-IT"/>
        </w:rPr>
        <w:t>indicatori:</w:t>
      </w:r>
    </w:p>
    <w:p w:rsidR="00A56BB3" w:rsidRDefault="00A56BB3">
      <w:pPr>
        <w:pStyle w:val="Standard"/>
        <w:spacing w:after="0" w:line="360" w:lineRule="atLeast"/>
        <w:ind w:left="720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</w:p>
    <w:p w:rsidR="00A56BB3" w:rsidRDefault="00A56BB3">
      <w:pPr>
        <w:pStyle w:val="Standard"/>
        <w:spacing w:after="0" w:line="36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it-IT"/>
        </w:rPr>
      </w:pPr>
    </w:p>
    <w:tbl>
      <w:tblPr>
        <w:tblW w:w="9686" w:type="dxa"/>
        <w:tblInd w:w="60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4"/>
        <w:gridCol w:w="4842"/>
      </w:tblGrid>
      <w:tr w:rsidR="00A56BB3">
        <w:tblPrEx>
          <w:tblCellMar>
            <w:top w:w="0" w:type="dxa"/>
            <w:bottom w:w="0" w:type="dxa"/>
          </w:tblCellMar>
        </w:tblPrEx>
        <w:trPr>
          <w:trHeight w:val="880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Standard"/>
              <w:spacing w:after="0" w:line="360" w:lineRule="atLeast"/>
              <w:jc w:val="both"/>
              <w:outlineLvl w:val="0"/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it-IT"/>
              </w:rPr>
              <w:t>FATTORI</w:t>
            </w:r>
          </w:p>
        </w:tc>
        <w:tc>
          <w:tcPr>
            <w:tcW w:w="4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Standard"/>
              <w:spacing w:after="0" w:line="360" w:lineRule="atLeast"/>
              <w:jc w:val="both"/>
              <w:outlineLvl w:val="0"/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4"/>
                <w:szCs w:val="24"/>
                <w:lang w:eastAsia="it-IT"/>
              </w:rPr>
              <w:t>INDICATORI</w:t>
            </w:r>
          </w:p>
        </w:tc>
      </w:tr>
      <w:tr w:rsidR="00A56BB3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Standard"/>
              <w:spacing w:after="0" w:line="360" w:lineRule="atLeast"/>
              <w:jc w:val="both"/>
              <w:outlineLvl w:val="0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sz w:val="24"/>
                <w:szCs w:val="24"/>
                <w:lang w:eastAsia="it-IT"/>
              </w:rPr>
              <w:t>Post-pensionamento</w:t>
            </w:r>
          </w:p>
        </w:tc>
        <w:tc>
          <w:tcPr>
            <w:tcW w:w="4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lang w:eastAsia="it-IT"/>
              </w:rPr>
              <w:t>Percepire pensione di vecchiaia</w:t>
            </w:r>
          </w:p>
          <w:p w:rsidR="00A56BB3" w:rsidRDefault="00DB47D2">
            <w:pPr>
              <w:pStyle w:val="Paragrafoelenco"/>
              <w:spacing w:after="0" w:line="360" w:lineRule="auto"/>
              <w:jc w:val="both"/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Item di rilevazione (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) n^8 del questionario</w:t>
            </w:r>
          </w:p>
          <w:p w:rsidR="00A56BB3" w:rsidRDefault="00DB47D2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jc w:val="both"/>
            </w:pPr>
            <w:r>
              <w:rPr>
                <w:rFonts w:ascii="Arial" w:hAnsi="Arial" w:cs="Arial"/>
                <w:i/>
              </w:rPr>
              <w:t>Avere 65 o più anni di età</w:t>
            </w:r>
          </w:p>
          <w:p w:rsidR="00A56BB3" w:rsidRDefault="00DB47D2">
            <w:pPr>
              <w:pStyle w:val="Paragrafoelenco"/>
              <w:spacing w:after="0" w:line="360" w:lineRule="auto"/>
              <w:jc w:val="both"/>
              <w:outlineLvl w:val="0"/>
            </w:pP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n^1 del questionario</w:t>
            </w:r>
          </w:p>
        </w:tc>
      </w:tr>
      <w:tr w:rsidR="00A56BB3">
        <w:tblPrEx>
          <w:tblCellMar>
            <w:top w:w="0" w:type="dxa"/>
            <w:bottom w:w="0" w:type="dxa"/>
          </w:tblCellMar>
        </w:tblPrEx>
        <w:trPr>
          <w:trHeight w:val="880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Standard"/>
              <w:spacing w:after="0" w:line="360" w:lineRule="atLeast"/>
              <w:jc w:val="both"/>
              <w:outlineLvl w:val="0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sz w:val="24"/>
                <w:szCs w:val="24"/>
                <w:lang w:eastAsia="it-IT"/>
              </w:rPr>
              <w:t>Abuso di alcol</w:t>
            </w:r>
          </w:p>
        </w:tc>
        <w:tc>
          <w:tcPr>
            <w:tcW w:w="4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Paragrafoelenco"/>
              <w:numPr>
                <w:ilvl w:val="0"/>
                <w:numId w:val="3"/>
              </w:numPr>
              <w:spacing w:after="0" w:line="360" w:lineRule="atLeast"/>
              <w:jc w:val="both"/>
            </w:pPr>
            <w:r>
              <w:rPr>
                <w:rFonts w:ascii="Arial" w:hAnsi="Arial" w:cs="Arial"/>
                <w:i/>
              </w:rPr>
              <w:t xml:space="preserve">Superare </w:t>
            </w:r>
            <w:r>
              <w:rPr>
                <w:rFonts w:ascii="Arial" w:hAnsi="Arial" w:cs="Arial"/>
                <w:i/>
              </w:rPr>
              <w:t>un’unità alcolica giornaliera</w:t>
            </w:r>
          </w:p>
          <w:p w:rsidR="00A56BB3" w:rsidRDefault="00DB47D2">
            <w:pPr>
              <w:pStyle w:val="Paragrafoelenco"/>
              <w:spacing w:after="0" w:line="360" w:lineRule="atLeast"/>
              <w:jc w:val="both"/>
              <w:outlineLvl w:val="0"/>
            </w:pP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n^16-18 del questionario</w:t>
            </w:r>
          </w:p>
          <w:p w:rsidR="00A56BB3" w:rsidRDefault="00DB47D2">
            <w:pPr>
              <w:pStyle w:val="Paragrafoelenco"/>
              <w:numPr>
                <w:ilvl w:val="0"/>
                <w:numId w:val="14"/>
              </w:numPr>
              <w:spacing w:after="0" w:line="360" w:lineRule="atLeast"/>
              <w:jc w:val="both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lang w:eastAsia="it-IT"/>
              </w:rPr>
              <w:t>Durante i pasti</w:t>
            </w:r>
          </w:p>
          <w:p w:rsidR="00A56BB3" w:rsidRDefault="00DB47D2">
            <w:pPr>
              <w:pStyle w:val="Paragrafoelenco"/>
              <w:spacing w:after="0" w:line="360" w:lineRule="atLeast"/>
              <w:ind w:left="1080"/>
              <w:jc w:val="both"/>
              <w:outlineLvl w:val="0"/>
            </w:pP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n^15 del questionario</w:t>
            </w:r>
          </w:p>
          <w:p w:rsidR="00A56BB3" w:rsidRDefault="00DB47D2">
            <w:pPr>
              <w:pStyle w:val="Paragrafoelenco"/>
              <w:numPr>
                <w:ilvl w:val="0"/>
                <w:numId w:val="8"/>
              </w:numPr>
              <w:spacing w:after="0" w:line="360" w:lineRule="atLeast"/>
              <w:jc w:val="both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lang w:eastAsia="it-IT"/>
              </w:rPr>
              <w:t>Fuori dai pasti</w:t>
            </w:r>
          </w:p>
          <w:p w:rsidR="00A56BB3" w:rsidRDefault="00DB47D2">
            <w:pPr>
              <w:pStyle w:val="Paragrafoelenco"/>
              <w:spacing w:after="0" w:line="360" w:lineRule="atLeast"/>
              <w:ind w:left="1080"/>
              <w:jc w:val="both"/>
              <w:outlineLvl w:val="0"/>
            </w:pP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n^17 del questionario</w:t>
            </w:r>
          </w:p>
        </w:tc>
      </w:tr>
      <w:tr w:rsidR="00A56BB3">
        <w:tblPrEx>
          <w:tblCellMar>
            <w:top w:w="0" w:type="dxa"/>
            <w:bottom w:w="0" w:type="dxa"/>
          </w:tblCellMar>
        </w:tblPrEx>
        <w:trPr>
          <w:trHeight w:val="880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Standard"/>
              <w:spacing w:after="0" w:line="360" w:lineRule="atLeast"/>
              <w:jc w:val="both"/>
              <w:outlineLvl w:val="0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sz w:val="24"/>
                <w:szCs w:val="24"/>
                <w:lang w:eastAsia="it-IT"/>
              </w:rPr>
              <w:lastRenderedPageBreak/>
              <w:t>Solitudine a casa</w:t>
            </w:r>
          </w:p>
        </w:tc>
        <w:tc>
          <w:tcPr>
            <w:tcW w:w="4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Paragrafoelenco"/>
              <w:numPr>
                <w:ilvl w:val="0"/>
                <w:numId w:val="3"/>
              </w:numPr>
              <w:spacing w:after="0" w:line="360" w:lineRule="atLeast"/>
              <w:jc w:val="both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lang w:eastAsia="it-IT"/>
              </w:rPr>
              <w:t>Vivere soli</w:t>
            </w:r>
          </w:p>
          <w:p w:rsidR="00A56BB3" w:rsidRDefault="00DB47D2">
            <w:pPr>
              <w:pStyle w:val="Paragrafoelenco"/>
              <w:spacing w:after="0" w:line="360" w:lineRule="atLeast"/>
              <w:jc w:val="both"/>
              <w:outlineLvl w:val="0"/>
            </w:pP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n^4 del questionario</w:t>
            </w:r>
          </w:p>
        </w:tc>
      </w:tr>
      <w:tr w:rsidR="00A56BB3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Standard"/>
              <w:spacing w:after="0" w:line="360" w:lineRule="atLeast"/>
              <w:jc w:val="both"/>
              <w:outlineLvl w:val="0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sz w:val="24"/>
                <w:szCs w:val="24"/>
                <w:lang w:eastAsia="it-IT"/>
              </w:rPr>
              <w:t>Scarso contatto con i parenti</w:t>
            </w:r>
          </w:p>
        </w:tc>
        <w:tc>
          <w:tcPr>
            <w:tcW w:w="4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Paragrafoelenco"/>
              <w:numPr>
                <w:ilvl w:val="0"/>
                <w:numId w:val="3"/>
              </w:numPr>
              <w:spacing w:after="0" w:line="360" w:lineRule="atLeast"/>
              <w:jc w:val="both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lang w:eastAsia="it-IT"/>
              </w:rPr>
              <w:t>Frequenza contatto</w:t>
            </w:r>
          </w:p>
          <w:p w:rsidR="00A56BB3" w:rsidRDefault="00DB47D2">
            <w:pPr>
              <w:pStyle w:val="Paragrafoelenco"/>
              <w:spacing w:after="0" w:line="360" w:lineRule="atLeast"/>
              <w:jc w:val="both"/>
              <w:outlineLvl w:val="0"/>
            </w:pP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n^6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del questionario</w:t>
            </w:r>
          </w:p>
        </w:tc>
      </w:tr>
      <w:tr w:rsidR="00A56BB3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Standard"/>
              <w:spacing w:after="0" w:line="360" w:lineRule="atLeast"/>
              <w:jc w:val="both"/>
              <w:outlineLvl w:val="0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sz w:val="24"/>
                <w:szCs w:val="24"/>
                <w:lang w:eastAsia="it-IT"/>
              </w:rPr>
              <w:t>Luogo frequentato maggiormente</w:t>
            </w:r>
          </w:p>
        </w:tc>
        <w:tc>
          <w:tcPr>
            <w:tcW w:w="4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Paragrafoelenco"/>
              <w:numPr>
                <w:ilvl w:val="0"/>
                <w:numId w:val="3"/>
              </w:numPr>
              <w:spacing w:after="0" w:line="360" w:lineRule="atLeast"/>
              <w:jc w:val="both"/>
            </w:pPr>
            <w:r>
              <w:rPr>
                <w:rFonts w:ascii="Arial" w:hAnsi="Arial" w:cs="Arial"/>
                <w:i/>
              </w:rPr>
              <w:t>Predilezione per il bar</w:t>
            </w:r>
          </w:p>
          <w:p w:rsidR="00A56BB3" w:rsidRDefault="00DB47D2">
            <w:pPr>
              <w:pStyle w:val="Paragrafoelenco"/>
              <w:spacing w:after="0" w:line="360" w:lineRule="atLeast"/>
              <w:jc w:val="both"/>
              <w:outlineLvl w:val="0"/>
            </w:pP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n^9 del questionario</w:t>
            </w:r>
          </w:p>
        </w:tc>
      </w:tr>
      <w:tr w:rsidR="00A56BB3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4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Standard"/>
              <w:spacing w:after="0" w:line="360" w:lineRule="atLeast"/>
              <w:jc w:val="both"/>
              <w:outlineLvl w:val="0"/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sz w:val="24"/>
                <w:szCs w:val="24"/>
                <w:lang w:eastAsia="it-IT"/>
              </w:rPr>
              <w:t>Mancata prevenzione</w:t>
            </w:r>
          </w:p>
        </w:tc>
        <w:tc>
          <w:tcPr>
            <w:tcW w:w="4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BB3" w:rsidRDefault="00DB47D2">
            <w:pPr>
              <w:pStyle w:val="Paragrafoelenco"/>
              <w:numPr>
                <w:ilvl w:val="0"/>
                <w:numId w:val="3"/>
              </w:numPr>
              <w:spacing w:after="0" w:line="360" w:lineRule="atLeast"/>
              <w:jc w:val="both"/>
            </w:pPr>
            <w:r>
              <w:rPr>
                <w:rFonts w:ascii="Arial" w:hAnsi="Arial" w:cs="Arial"/>
                <w:i/>
              </w:rPr>
              <w:t>Ignoranza effetti collaterali dovuti all’assunzione di alcolici</w:t>
            </w:r>
          </w:p>
          <w:p w:rsidR="00A56BB3" w:rsidRDefault="00DB47D2">
            <w:pPr>
              <w:pStyle w:val="Paragrafoelenco"/>
              <w:spacing w:after="0" w:line="360" w:lineRule="atLeast"/>
              <w:jc w:val="both"/>
              <w:outlineLvl w:val="0"/>
            </w:pPr>
            <w:proofErr w:type="spellStart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>Idr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16"/>
                <w:szCs w:val="24"/>
                <w:lang w:eastAsia="it-IT"/>
              </w:rPr>
              <w:t xml:space="preserve"> n^21 del questionario</w:t>
            </w:r>
          </w:p>
        </w:tc>
      </w:tr>
    </w:tbl>
    <w:p w:rsidR="00A56BB3" w:rsidRDefault="00A56BB3">
      <w:pPr>
        <w:pStyle w:val="Standard"/>
        <w:spacing w:after="0" w:line="36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it-IT"/>
        </w:rPr>
      </w:pPr>
    </w:p>
    <w:p w:rsidR="00A56BB3" w:rsidRDefault="00A56BB3">
      <w:pPr>
        <w:pStyle w:val="Standard"/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:rsidR="00A56BB3" w:rsidRDefault="00DB47D2">
      <w:pPr>
        <w:pStyle w:val="Titolo2"/>
      </w:pPr>
      <w:bookmarkStart w:id="1" w:name="_Hlk485825754"/>
      <w:bookmarkEnd w:id="1"/>
      <w:r>
        <w:rPr>
          <w:rFonts w:ascii="Arial" w:hAnsi="Arial" w:cs="Arial"/>
          <w:color w:val="00000A"/>
          <w:sz w:val="28"/>
          <w:szCs w:val="28"/>
          <w:u w:val="single"/>
        </w:rPr>
        <w:t xml:space="preserve">Scelta e costruzione dello strumento di </w:t>
      </w:r>
      <w:r>
        <w:rPr>
          <w:rFonts w:ascii="Arial" w:hAnsi="Arial" w:cs="Arial"/>
          <w:color w:val="00000A"/>
          <w:sz w:val="28"/>
          <w:szCs w:val="28"/>
          <w:u w:val="single"/>
        </w:rPr>
        <w:t>rilevazione dei dati</w:t>
      </w:r>
    </w:p>
    <w:p w:rsidR="00A56BB3" w:rsidRDefault="00A56BB3">
      <w:pPr>
        <w:pStyle w:val="Standard"/>
      </w:pPr>
    </w:p>
    <w:p w:rsidR="00A56BB3" w:rsidRDefault="00DB47D2">
      <w:pPr>
        <w:pStyle w:val="Standard"/>
      </w:pPr>
      <w:r>
        <w:rPr>
          <w:rFonts w:ascii="Arial" w:hAnsi="Arial" w:cs="Arial"/>
          <w:sz w:val="24"/>
          <w:szCs w:val="24"/>
        </w:rPr>
        <w:t>Lo strumento di rilevazione dei dati che abbiamo utilizzato è il seguente questionario:</w:t>
      </w:r>
    </w:p>
    <w:p w:rsidR="00A56BB3" w:rsidRDefault="00A56BB3">
      <w:pPr>
        <w:pStyle w:val="Standard"/>
        <w:jc w:val="center"/>
        <w:rPr>
          <w:rFonts w:ascii="Arial" w:hAnsi="Arial" w:cs="Arial"/>
          <w:sz w:val="24"/>
          <w:szCs w:val="24"/>
        </w:rPr>
      </w:pPr>
    </w:p>
    <w:p w:rsidR="00A56BB3" w:rsidRDefault="00DB47D2">
      <w:pPr>
        <w:pStyle w:val="Standard"/>
        <w:jc w:val="center"/>
      </w:pPr>
      <w:r>
        <w:rPr>
          <w:noProof/>
        </w:rPr>
        <w:drawing>
          <wp:inline distT="0" distB="0" distL="0" distR="0">
            <wp:extent cx="6119996" cy="4235400"/>
            <wp:effectExtent l="0" t="0" r="0" b="0"/>
            <wp:docPr id="4" name="Immagine 6" descr="Ritaglio scherma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996" cy="42354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DB47D2">
      <w:pPr>
        <w:pStyle w:val="Standard"/>
        <w:jc w:val="center"/>
      </w:pPr>
      <w:r>
        <w:rPr>
          <w:noProof/>
        </w:rPr>
        <w:lastRenderedPageBreak/>
        <w:drawing>
          <wp:inline distT="0" distB="0" distL="0" distR="0">
            <wp:extent cx="6119996" cy="4380122"/>
            <wp:effectExtent l="0" t="0" r="0" b="1378"/>
            <wp:docPr id="5" name="Immagine 12" descr="Ritaglio scherma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996" cy="438012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DB47D2">
      <w:pPr>
        <w:pStyle w:val="Standard"/>
      </w:pPr>
      <w:r>
        <w:rPr>
          <w:noProof/>
        </w:rPr>
        <w:drawing>
          <wp:inline distT="0" distB="0" distL="0" distR="0">
            <wp:extent cx="6119996" cy="4298402"/>
            <wp:effectExtent l="0" t="0" r="0" b="6898"/>
            <wp:docPr id="6" name="Immagine 13" descr="Ritaglio scherma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996" cy="429840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A56BB3">
      <w:pPr>
        <w:pStyle w:val="Standard"/>
      </w:pPr>
    </w:p>
    <w:p w:rsidR="00A56BB3" w:rsidRDefault="00A56BB3">
      <w:pPr>
        <w:pStyle w:val="Standard"/>
        <w:rPr>
          <w:sz w:val="28"/>
          <w:szCs w:val="28"/>
          <w:u w:val="single"/>
        </w:rPr>
      </w:pPr>
    </w:p>
    <w:p w:rsidR="00A56BB3" w:rsidRDefault="00DB47D2">
      <w:pPr>
        <w:pStyle w:val="Standard"/>
      </w:pPr>
      <w:r>
        <w:rPr>
          <w:noProof/>
        </w:rPr>
        <w:drawing>
          <wp:inline distT="0" distB="0" distL="0" distR="0">
            <wp:extent cx="6119996" cy="4234321"/>
            <wp:effectExtent l="0" t="0" r="0" b="0"/>
            <wp:docPr id="7" name="Immagine 14" descr="Ritaglio scherma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996" cy="42343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 xml:space="preserve">Data la delicatezza del tema trattato, nel questionario abbiamo tentato di non rendere facilmente intuibile lo scopo della ricerca </w:t>
      </w:r>
      <w:r>
        <w:rPr>
          <w:rFonts w:ascii="Arial" w:hAnsi="Arial" w:cs="Arial"/>
          <w:sz w:val="24"/>
          <w:szCs w:val="24"/>
        </w:rPr>
        <w:t>evitando di esplicitare l’assunto “abuso di alcol” e inserendo le domande numero 3, 5, 7, 10, 11, 12, 13 al solo scopo di far sentire l’intervistato a proprio agio. Inoltre, per far sì che l’intervistato rispondesse senza sentirsi giudicato, abbiamo garant</w:t>
      </w:r>
      <w:r>
        <w:rPr>
          <w:rFonts w:ascii="Arial" w:hAnsi="Arial" w:cs="Arial"/>
          <w:sz w:val="24"/>
          <w:szCs w:val="24"/>
        </w:rPr>
        <w:t xml:space="preserve">ito l’anonimato. Infine, per mitigare l’effetto acquiescenza (secondo il quale l’intervistato risponde alle domande nel modo che ritiene essere quello desiderato </w:t>
      </w:r>
      <w:proofErr w:type="gramStart"/>
      <w:r>
        <w:rPr>
          <w:rFonts w:ascii="Arial" w:hAnsi="Arial" w:cs="Arial"/>
          <w:sz w:val="24"/>
          <w:szCs w:val="24"/>
        </w:rPr>
        <w:t>dall’intervistatore)  e</w:t>
      </w:r>
      <w:proofErr w:type="gramEnd"/>
      <w:r>
        <w:rPr>
          <w:rFonts w:ascii="Arial" w:hAnsi="Arial" w:cs="Arial"/>
          <w:sz w:val="24"/>
          <w:szCs w:val="24"/>
        </w:rPr>
        <w:t xml:space="preserve"> l’effetto Hawthorne (insieme delle variazioni di un fenomeno o comport</w:t>
      </w:r>
      <w:r>
        <w:rPr>
          <w:rFonts w:ascii="Arial" w:hAnsi="Arial" w:cs="Arial"/>
          <w:sz w:val="24"/>
          <w:szCs w:val="24"/>
        </w:rPr>
        <w:t>amento che si verificano per effetto della presenza di osservatori), abbiamo permesso l’auto-compilazione del questionario (fornendo in ogni caso la nostra disponibilità in caso di chiarimenti o aiuto specifico).</w:t>
      </w:r>
    </w:p>
    <w:p w:rsidR="00A56BB3" w:rsidRDefault="00A56BB3">
      <w:pPr>
        <w:pStyle w:val="Standard"/>
        <w:spacing w:after="0" w:line="240" w:lineRule="auto"/>
        <w:rPr>
          <w:rFonts w:ascii="Arial" w:eastAsia="F" w:hAnsi="Arial" w:cs="Arial"/>
          <w:color w:val="00000A"/>
          <w:sz w:val="28"/>
          <w:szCs w:val="28"/>
          <w:u w:val="single"/>
        </w:rPr>
      </w:pPr>
    </w:p>
    <w:p w:rsidR="00A56BB3" w:rsidRDefault="00DB47D2">
      <w:pPr>
        <w:pStyle w:val="Titolo2"/>
        <w:pageBreakBefore/>
      </w:pPr>
      <w:r>
        <w:rPr>
          <w:rFonts w:ascii="Arial" w:hAnsi="Arial" w:cs="Arial"/>
          <w:color w:val="00000A"/>
          <w:sz w:val="28"/>
          <w:szCs w:val="28"/>
          <w:u w:val="single"/>
        </w:rPr>
        <w:lastRenderedPageBreak/>
        <w:t>Campione e popolazione di riferimento</w:t>
      </w:r>
    </w:p>
    <w:p w:rsidR="00A56BB3" w:rsidRDefault="00A56BB3">
      <w:pPr>
        <w:pStyle w:val="Standard"/>
      </w:pP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>Abb</w:t>
      </w:r>
      <w:r>
        <w:rPr>
          <w:rFonts w:ascii="Arial" w:hAnsi="Arial" w:cs="Arial"/>
          <w:sz w:val="24"/>
          <w:szCs w:val="24"/>
        </w:rPr>
        <w:t>iamo preso in considerazione un campione non probabilistico accidentale. In base al soggetto della nostra ricerca abbiamo distribuito il questionario a coloro che apparentemente dimostrassero di percepire una pensione di vecchiaia.</w:t>
      </w:r>
    </w:p>
    <w:p w:rsidR="00A56BB3" w:rsidRDefault="00DB47D2">
      <w:pPr>
        <w:pStyle w:val="Standard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La popolazione di rifer</w:t>
      </w:r>
      <w:r>
        <w:rPr>
          <w:rFonts w:ascii="Arial" w:hAnsi="Arial" w:cs="Arial"/>
          <w:sz w:val="24"/>
          <w:szCs w:val="24"/>
        </w:rPr>
        <w:t>imento della nostra ricerca sono gli individui la cui età corrisponde, o è maggiore, ai 65 anni di età. Questa è, infatti, l’età minima per percepire la pensione di vecchiaia.</w:t>
      </w:r>
    </w:p>
    <w:p w:rsidR="0096616F" w:rsidRDefault="0096616F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>La numerosità del campione ammonta a 30 soggetti di cui 25 presentano le caratteristiche da noi indagate. I 5 soggetti rimanenti non percepiscono la pensione di vecchiaia, per questo motivo non son stati presi in considerazione nell’analisi dei dati.</w:t>
      </w:r>
      <w:bookmarkStart w:id="2" w:name="_GoBack"/>
      <w:bookmarkEnd w:id="2"/>
    </w:p>
    <w:p w:rsidR="00A56BB3" w:rsidRDefault="00A56BB3">
      <w:pPr>
        <w:pStyle w:val="Standard"/>
        <w:spacing w:line="360" w:lineRule="auto"/>
        <w:rPr>
          <w:rFonts w:ascii="Arial" w:hAnsi="Arial" w:cs="Arial"/>
          <w:sz w:val="24"/>
          <w:szCs w:val="24"/>
        </w:rPr>
      </w:pPr>
    </w:p>
    <w:p w:rsidR="00A56BB3" w:rsidRDefault="00DB47D2">
      <w:pPr>
        <w:pStyle w:val="Titolo2"/>
      </w:pPr>
      <w:r>
        <w:rPr>
          <w:rFonts w:ascii="Arial" w:hAnsi="Arial" w:cs="Arial"/>
          <w:color w:val="00000A"/>
          <w:sz w:val="28"/>
          <w:szCs w:val="28"/>
          <w:u w:val="single"/>
        </w:rPr>
        <w:t>Rilevazione dei dati</w:t>
      </w:r>
    </w:p>
    <w:p w:rsidR="00A56BB3" w:rsidRDefault="00A56BB3">
      <w:pPr>
        <w:pStyle w:val="Standard"/>
      </w:pP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>Dopo aver preparato il questionario abbiamo deciso di som</w:t>
      </w:r>
      <w:r>
        <w:rPr>
          <w:rFonts w:ascii="Arial" w:hAnsi="Arial" w:cs="Arial"/>
          <w:sz w:val="24"/>
          <w:szCs w:val="24"/>
        </w:rPr>
        <w:t xml:space="preserve">ministrarlo fuori dagli ospedali, dai bar, dai centri commerciali, per strada, sull’autobus e sulle panchine delle aree verdi. Nell’approccio iniziale abbiamo riscontrato alcune difficoltà dovute alla diffidenza dei soggetti. La diffidenza era causata non </w:t>
      </w:r>
      <w:r>
        <w:rPr>
          <w:rFonts w:ascii="Arial" w:hAnsi="Arial" w:cs="Arial"/>
          <w:sz w:val="24"/>
          <w:szCs w:val="24"/>
        </w:rPr>
        <w:t>solo dal fatto che fossimo degli sconosciuti, ma soprattutto dalla paura di cadere in truffe dovendo compilare dei fogli. A questo punto abbiamo deciso di approcciarci diversamente: abbiamo puntato al dialogo e compilato in separata sede i questionari. È s</w:t>
      </w:r>
      <w:r>
        <w:rPr>
          <w:rFonts w:ascii="Arial" w:hAnsi="Arial" w:cs="Arial"/>
          <w:sz w:val="24"/>
          <w:szCs w:val="24"/>
        </w:rPr>
        <w:t>tato importante, per ottenere la fiducia e il contributo dei soggetti, sottolineare l’anonimato del questionario e chiarire chi fossimo (citando l’università).</w:t>
      </w:r>
    </w:p>
    <w:p w:rsidR="00A56BB3" w:rsidRDefault="00A56BB3">
      <w:pPr>
        <w:pStyle w:val="Standard"/>
        <w:rPr>
          <w:rFonts w:ascii="Arial" w:hAnsi="Arial" w:cs="Arial"/>
          <w:sz w:val="28"/>
          <w:szCs w:val="28"/>
        </w:rPr>
      </w:pPr>
    </w:p>
    <w:p w:rsidR="00A56BB3" w:rsidRDefault="00DB47D2">
      <w:pPr>
        <w:pStyle w:val="Titolo2"/>
      </w:pPr>
      <w:r>
        <w:rPr>
          <w:rFonts w:ascii="Arial" w:hAnsi="Arial" w:cs="Arial"/>
          <w:color w:val="00000A"/>
          <w:sz w:val="28"/>
          <w:szCs w:val="28"/>
          <w:u w:val="single"/>
        </w:rPr>
        <w:t>Codifica del dato empirico e caricamento su calcolatore</w:t>
      </w:r>
    </w:p>
    <w:p w:rsidR="00A56BB3" w:rsidRDefault="00A56BB3">
      <w:pPr>
        <w:pStyle w:val="Standard"/>
        <w:spacing w:line="360" w:lineRule="auto"/>
      </w:pP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>I dati emersi dai questionari compilat</w:t>
      </w:r>
      <w:r>
        <w:rPr>
          <w:rFonts w:ascii="Arial" w:hAnsi="Arial" w:cs="Arial"/>
          <w:sz w:val="24"/>
          <w:szCs w:val="24"/>
        </w:rPr>
        <w:t>i sono stati inseriti in una matrice di dati su un foglio di calcolo (Microsoft Excel) in cui le colonne rappresentano le variabili della nostra ricerca e ogni riga corrisponde ad un soggetto. I dati raccolti sono poi stati inseriti nel programma di elabor</w:t>
      </w:r>
      <w:r>
        <w:rPr>
          <w:rFonts w:ascii="Arial" w:hAnsi="Arial" w:cs="Arial"/>
          <w:sz w:val="24"/>
          <w:szCs w:val="24"/>
        </w:rPr>
        <w:t>azione dati JsStat.</w:t>
      </w:r>
    </w:p>
    <w:p w:rsidR="00A56BB3" w:rsidRDefault="00A56BB3">
      <w:pPr>
        <w:pStyle w:val="Standard"/>
        <w:rPr>
          <w:rFonts w:ascii="Arial" w:hAnsi="Arial" w:cs="Arial"/>
          <w:sz w:val="24"/>
          <w:szCs w:val="24"/>
        </w:rPr>
      </w:pPr>
    </w:p>
    <w:p w:rsidR="00A56BB3" w:rsidRDefault="00A56BB3">
      <w:pPr>
        <w:pStyle w:val="Standard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:rsidR="00A56BB3" w:rsidRDefault="00A56BB3">
      <w:pPr>
        <w:pStyle w:val="Standard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:rsidR="00A56BB3" w:rsidRDefault="00A56BB3">
      <w:pPr>
        <w:pStyle w:val="Standard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8"/>
          <w:szCs w:val="28"/>
          <w:u w:val="single"/>
        </w:rPr>
        <w:t>Analisi dei dati e controllo delle ipotesi iniziali</w:t>
      </w:r>
    </w:p>
    <w:p w:rsidR="00A56BB3" w:rsidRDefault="00DB47D2">
      <w:pPr>
        <w:pStyle w:val="Standard"/>
        <w:keepNext/>
        <w:spacing w:line="360" w:lineRule="auto"/>
      </w:pPr>
      <w:r>
        <w:rPr>
          <w:noProof/>
        </w:rPr>
        <w:drawing>
          <wp:inline distT="0" distB="0" distL="0" distR="0">
            <wp:extent cx="5523122" cy="3615116"/>
            <wp:effectExtent l="0" t="0" r="1378" b="4384"/>
            <wp:docPr id="8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3122" cy="36151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DB47D2">
      <w:pPr>
        <w:pStyle w:val="Didascalia"/>
      </w:pPr>
      <w:r>
        <w:t>Tabella 1- IMPRESSIONI DEI SOGGETTI RISPETTO ALLA FREQUENZA NEL POST-PENSIONAMENTO</w:t>
      </w:r>
    </w:p>
    <w:p w:rsidR="00A56BB3" w:rsidRDefault="00A56BB3">
      <w:pPr>
        <w:pStyle w:val="Standard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:rsidR="00A56BB3" w:rsidRDefault="00DB47D2">
      <w:pPr>
        <w:pStyle w:val="Standard"/>
        <w:keepNext/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5533555" cy="3594241"/>
            <wp:effectExtent l="0" t="0" r="0" b="6209"/>
            <wp:docPr id="9" name="Immagin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3555" cy="359424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DB47D2">
      <w:pPr>
        <w:pStyle w:val="Didascalia"/>
      </w:pPr>
      <w:r>
        <w:t>Tabella 2 – CONSAPEVOLEZZA EFFETTI COLATERALI</w:t>
      </w:r>
    </w:p>
    <w:p w:rsidR="00A56BB3" w:rsidRDefault="00DB47D2">
      <w:pPr>
        <w:pStyle w:val="Didascalia"/>
      </w:pPr>
      <w:r>
        <w:rPr>
          <w:rFonts w:ascii="Arial" w:hAnsi="Arial"/>
          <w:i w:val="0"/>
          <w:sz w:val="28"/>
          <w:szCs w:val="28"/>
          <w:u w:val="single"/>
        </w:rPr>
        <w:t>Analisi bivariata</w:t>
      </w:r>
    </w:p>
    <w:p w:rsidR="00A56BB3" w:rsidRDefault="00DB47D2">
      <w:pPr>
        <w:pStyle w:val="Standard"/>
        <w:keepNext/>
        <w:spacing w:line="360" w:lineRule="auto"/>
      </w:pPr>
      <w:r>
        <w:rPr>
          <w:noProof/>
        </w:rPr>
        <w:drawing>
          <wp:inline distT="0" distB="0" distL="0" distR="0">
            <wp:extent cx="5310359" cy="2933642"/>
            <wp:effectExtent l="0" t="0" r="4591" b="58"/>
            <wp:docPr id="10" name="Immagin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0359" cy="293364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DB47D2">
      <w:pPr>
        <w:pStyle w:val="Didascalia"/>
      </w:pPr>
      <w:r>
        <w:t xml:space="preserve">Figura 1 - Analisi </w:t>
      </w:r>
      <w:r>
        <w:t>bivariata PRIMA TIPOLOGIA PROBLEMATICA</w:t>
      </w:r>
    </w:p>
    <w:p w:rsidR="00A56BB3" w:rsidRDefault="00DB47D2">
      <w:pPr>
        <w:pStyle w:val="Standard"/>
        <w:keepNext/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5591162" cy="4194718"/>
            <wp:effectExtent l="0" t="0" r="0" b="0"/>
            <wp:docPr id="11" name="Immagin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1162" cy="419471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56BB3" w:rsidRDefault="00DB47D2">
      <w:pPr>
        <w:pStyle w:val="Didascalia"/>
      </w:pPr>
      <w:r>
        <w:t>Figura 2- Analisi bivariata SECONDA TIPOLOGIA PROBLEMATICA</w:t>
      </w:r>
    </w:p>
    <w:p w:rsidR="00A56BB3" w:rsidRDefault="00A56BB3">
      <w:pPr>
        <w:pStyle w:val="Standard"/>
        <w:spacing w:after="0" w:line="240" w:lineRule="auto"/>
        <w:rPr>
          <w:rFonts w:ascii="Arial" w:hAnsi="Arial" w:cs="Arial"/>
          <w:sz w:val="24"/>
          <w:szCs w:val="24"/>
        </w:rPr>
      </w:pPr>
    </w:p>
    <w:p w:rsidR="00A56BB3" w:rsidRDefault="00DB47D2">
      <w:pPr>
        <w:pStyle w:val="Standard"/>
        <w:pageBreakBefore/>
        <w:spacing w:line="360" w:lineRule="auto"/>
      </w:pPr>
      <w:r>
        <w:rPr>
          <w:rFonts w:ascii="Arial" w:hAnsi="Arial" w:cs="Arial"/>
          <w:sz w:val="24"/>
          <w:szCs w:val="24"/>
        </w:rPr>
        <w:lastRenderedPageBreak/>
        <w:t>Secondo le linee guida provenienti dallo Stato riguardanti gli anziani e il quantitativo di alcol che essi possono bere al giorno emerge che essi sono rite</w:t>
      </w:r>
      <w:r>
        <w:rPr>
          <w:rFonts w:ascii="Arial" w:hAnsi="Arial" w:cs="Arial"/>
          <w:sz w:val="24"/>
          <w:szCs w:val="24"/>
        </w:rPr>
        <w:t>nibili problematici nel momento in cui consumano più di un’unità alcolica al giorno, ovvero più di 12 g di alcol. Alla luce di questo sono tre le tipologie di soggetti definibili problematici. Per indagare la relazione tra ogni tipologia di bevitori proble</w:t>
      </w:r>
      <w:r>
        <w:rPr>
          <w:rFonts w:ascii="Arial" w:hAnsi="Arial" w:cs="Arial"/>
          <w:sz w:val="24"/>
          <w:szCs w:val="24"/>
        </w:rPr>
        <w:t>matici e il tipo di pensione da noi considerato (quello di vecchiaia) abbiamo escluso i soggetti che percepivano una diversa tipologia di pensione arrivando dunque a considerare 25 persone sui 30 intervistati in totale.</w:t>
      </w:r>
    </w:p>
    <w:p w:rsidR="00A56BB3" w:rsidRDefault="00DB47D2">
      <w:pPr>
        <w:pStyle w:val="Paragrafoelenco"/>
        <w:numPr>
          <w:ilvl w:val="0"/>
          <w:numId w:val="15"/>
        </w:numPr>
        <w:spacing w:line="360" w:lineRule="auto"/>
      </w:pPr>
      <w:r>
        <w:rPr>
          <w:rFonts w:ascii="Arial" w:hAnsi="Arial" w:cs="Arial"/>
          <w:sz w:val="24"/>
          <w:szCs w:val="24"/>
        </w:rPr>
        <w:t>La prima tipologia è quella dei sogg</w:t>
      </w:r>
      <w:r>
        <w:rPr>
          <w:rFonts w:ascii="Arial" w:hAnsi="Arial" w:cs="Arial"/>
          <w:sz w:val="24"/>
          <w:szCs w:val="24"/>
        </w:rPr>
        <w:t xml:space="preserve">etti che bevono </w:t>
      </w:r>
      <w:r>
        <w:rPr>
          <w:rFonts w:ascii="Arial" w:hAnsi="Arial" w:cs="Arial"/>
          <w:b/>
          <w:sz w:val="24"/>
          <w:szCs w:val="24"/>
        </w:rPr>
        <w:t>più di un’unità alcolica a pasto</w:t>
      </w:r>
      <w:r>
        <w:rPr>
          <w:rFonts w:ascii="Arial" w:hAnsi="Arial" w:cs="Arial"/>
          <w:sz w:val="24"/>
          <w:szCs w:val="24"/>
        </w:rPr>
        <w:t>.</w:t>
      </w:r>
    </w:p>
    <w:p w:rsidR="00A56BB3" w:rsidRDefault="00DB47D2">
      <w:pPr>
        <w:pStyle w:val="Standard"/>
        <w:spacing w:line="360" w:lineRule="auto"/>
        <w:ind w:left="360"/>
      </w:pPr>
      <w:r>
        <w:rPr>
          <w:rFonts w:ascii="Arial" w:hAnsi="Arial" w:cs="Arial"/>
          <w:sz w:val="24"/>
          <w:szCs w:val="24"/>
        </w:rPr>
        <w:t>Una volta inseriti i dati dei 25 soggetti in matrice abbiamo incrociato al suo interno i risultati relativi alla domanda 15 (“Durante i pasti, quali bevande consuma?” = BEV PASTI) concentrandoci sulle rispo</w:t>
      </w:r>
      <w:r>
        <w:rPr>
          <w:rFonts w:ascii="Arial" w:hAnsi="Arial" w:cs="Arial"/>
          <w:sz w:val="24"/>
          <w:szCs w:val="24"/>
        </w:rPr>
        <w:t>ste 2-3-4 (alcol), e quelli relativi alla domanda 16 (“In che quantità?” = NUMERO P) concentrandoci sulle risposte 2,3,4,5 (più di un bicchiere). Il risultato dell’analisi bivariata è illustrato nella figura 1 della pagina precedente;</w:t>
      </w:r>
    </w:p>
    <w:p w:rsidR="00A56BB3" w:rsidRDefault="00DB47D2">
      <w:pPr>
        <w:pStyle w:val="Paragrafoelenco"/>
        <w:numPr>
          <w:ilvl w:val="0"/>
          <w:numId w:val="5"/>
        </w:numPr>
        <w:spacing w:line="360" w:lineRule="auto"/>
      </w:pPr>
      <w:r>
        <w:rPr>
          <w:rFonts w:ascii="Arial" w:hAnsi="Arial" w:cs="Arial"/>
          <w:sz w:val="24"/>
          <w:szCs w:val="24"/>
        </w:rPr>
        <w:t xml:space="preserve">La seconda tipologia </w:t>
      </w:r>
      <w:r>
        <w:rPr>
          <w:rFonts w:ascii="Arial" w:hAnsi="Arial" w:cs="Arial"/>
          <w:sz w:val="24"/>
          <w:szCs w:val="24"/>
        </w:rPr>
        <w:t xml:space="preserve">problematica comprende i soggetti che </w:t>
      </w:r>
      <w:r>
        <w:rPr>
          <w:rFonts w:ascii="Arial" w:hAnsi="Arial" w:cs="Arial"/>
          <w:b/>
          <w:sz w:val="24"/>
          <w:szCs w:val="24"/>
        </w:rPr>
        <w:t>consumano alcol al di fuori dei pasti</w:t>
      </w:r>
      <w:r>
        <w:rPr>
          <w:rFonts w:ascii="Arial" w:hAnsi="Arial" w:cs="Arial"/>
          <w:sz w:val="24"/>
          <w:szCs w:val="24"/>
        </w:rPr>
        <w:t>.</w:t>
      </w:r>
    </w:p>
    <w:p w:rsidR="00A56BB3" w:rsidRDefault="00DB47D2">
      <w:pPr>
        <w:pStyle w:val="Paragrafoelenco"/>
        <w:spacing w:line="360" w:lineRule="auto"/>
        <w:ind w:left="360"/>
      </w:pPr>
      <w:r>
        <w:rPr>
          <w:rFonts w:ascii="Arial" w:hAnsi="Arial" w:cs="Arial"/>
          <w:sz w:val="24"/>
          <w:szCs w:val="24"/>
        </w:rPr>
        <w:t>Per questa tipologia abbiamo nuovamente preso in considerazione gli individui che percepiscono la pensione di vecchiaia e abbiamo fatto un’analisi bivariata tra la tipologia di be</w:t>
      </w:r>
      <w:r>
        <w:rPr>
          <w:rFonts w:ascii="Arial" w:hAnsi="Arial" w:cs="Arial"/>
          <w:sz w:val="24"/>
          <w:szCs w:val="24"/>
        </w:rPr>
        <w:t>vande fuori dai pasti (BEV FUORI PASTI = domanda 17) e la quantità di bicchieri (NUM FUORI PASTI = domanda 18);</w:t>
      </w:r>
    </w:p>
    <w:p w:rsidR="00A56BB3" w:rsidRDefault="00DB47D2">
      <w:pPr>
        <w:pStyle w:val="Paragrafoelenco"/>
        <w:numPr>
          <w:ilvl w:val="0"/>
          <w:numId w:val="5"/>
        </w:numPr>
        <w:spacing w:line="360" w:lineRule="auto"/>
      </w:pPr>
      <w:r>
        <w:rPr>
          <w:rFonts w:ascii="Arial" w:hAnsi="Arial" w:cs="Arial"/>
          <w:sz w:val="24"/>
          <w:szCs w:val="24"/>
        </w:rPr>
        <w:t xml:space="preserve">L’ultima tipologia riguarda i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binge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drinking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coloro che bevono più di 5 bicchieri al giorno.</w:t>
      </w:r>
    </w:p>
    <w:p w:rsidR="00A56BB3" w:rsidRDefault="00DB47D2">
      <w:pPr>
        <w:pStyle w:val="Paragrafoelenco"/>
        <w:spacing w:line="360" w:lineRule="auto"/>
        <w:ind w:left="360"/>
      </w:pPr>
      <w:r>
        <w:rPr>
          <w:rFonts w:ascii="Arial" w:hAnsi="Arial" w:cs="Arial"/>
          <w:sz w:val="24"/>
          <w:szCs w:val="24"/>
        </w:rPr>
        <w:t>Osservando le due analisi precedenti è possibile r</w:t>
      </w:r>
      <w:r>
        <w:rPr>
          <w:rFonts w:ascii="Arial" w:hAnsi="Arial" w:cs="Arial"/>
          <w:sz w:val="24"/>
          <w:szCs w:val="24"/>
        </w:rPr>
        <w:t>icavare il risultato di quest’ultima. In caso di un alto tasso di risposte n^5 (che corrispondono a “Più di quattro bicchieri al giorno”), fuori o durante il pasto, è possibile individuare il numero di individui appartenenti a questa categoria.</w:t>
      </w:r>
    </w:p>
    <w:p w:rsidR="00A56BB3" w:rsidRDefault="00A56BB3">
      <w:pPr>
        <w:pStyle w:val="Standard"/>
        <w:spacing w:after="0" w:line="240" w:lineRule="auto"/>
        <w:rPr>
          <w:rFonts w:ascii="Arial" w:hAnsi="Arial" w:cs="Arial"/>
          <w:sz w:val="28"/>
          <w:szCs w:val="28"/>
          <w:u w:val="single"/>
        </w:rPr>
      </w:pPr>
      <w:bookmarkStart w:id="3" w:name="_Hlk485826267"/>
      <w:bookmarkEnd w:id="3"/>
    </w:p>
    <w:p w:rsidR="00A56BB3" w:rsidRDefault="00DB47D2">
      <w:pPr>
        <w:pStyle w:val="Standard"/>
        <w:pageBreakBefore/>
        <w:spacing w:line="360" w:lineRule="auto"/>
      </w:pPr>
      <w:r>
        <w:rPr>
          <w:rFonts w:ascii="Arial" w:hAnsi="Arial" w:cs="Arial"/>
          <w:sz w:val="28"/>
          <w:szCs w:val="28"/>
          <w:u w:val="single"/>
        </w:rPr>
        <w:lastRenderedPageBreak/>
        <w:t>Interpreta</w:t>
      </w:r>
      <w:r>
        <w:rPr>
          <w:rFonts w:ascii="Arial" w:hAnsi="Arial" w:cs="Arial"/>
          <w:sz w:val="28"/>
          <w:szCs w:val="28"/>
          <w:u w:val="single"/>
        </w:rPr>
        <w:t>zione dei risultati</w:t>
      </w: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4"/>
          <w:szCs w:val="24"/>
        </w:rPr>
        <w:t>Dai dati emersi possiamo dire che:</w:t>
      </w:r>
      <w:r>
        <w:rPr>
          <w:rFonts w:ascii="Arial" w:hAnsi="Arial" w:cs="Arial"/>
          <w:sz w:val="24"/>
          <w:szCs w:val="24"/>
        </w:rPr>
        <w:br/>
      </w:r>
    </w:p>
    <w:p w:rsidR="00A56BB3" w:rsidRDefault="00DB47D2">
      <w:pPr>
        <w:pStyle w:val="Paragrafoelenco"/>
        <w:numPr>
          <w:ilvl w:val="0"/>
          <w:numId w:val="16"/>
        </w:numPr>
        <w:spacing w:line="360" w:lineRule="auto"/>
      </w:pPr>
      <w:r>
        <w:rPr>
          <w:rFonts w:ascii="Arial" w:hAnsi="Arial" w:cs="Arial"/>
          <w:sz w:val="24"/>
          <w:szCs w:val="24"/>
        </w:rPr>
        <w:t>Analisi bivariata: non c’è relazione significativa fra i fattori osservati ma si può comunque notare che 9 soggetti su 25 (quindi il 36%) dice di bere 2 o più bicchieri a pasto di bevande alcoliche i</w:t>
      </w:r>
      <w:r>
        <w:rPr>
          <w:rFonts w:ascii="Arial" w:hAnsi="Arial" w:cs="Arial"/>
          <w:sz w:val="24"/>
          <w:szCs w:val="24"/>
        </w:rPr>
        <w:t>l che sottolinea un uso superiore a quello consigliato dall’ISS. Invece per quanto riguarda le abitudini fuori pasto la percentuale si alza al 44% (11 su 25) di individui che dicono di bere alcolici, ricordiamo che l’ISS sconsiglia qualsiasi assunzione fuo</w:t>
      </w:r>
      <w:r>
        <w:rPr>
          <w:rFonts w:ascii="Arial" w:hAnsi="Arial" w:cs="Arial"/>
          <w:sz w:val="24"/>
          <w:szCs w:val="24"/>
        </w:rPr>
        <w:t>ri pasto. Infine fuori dai pasti solo 1 persona su 25 risulta bere più di quattro bicchieri, mentre durante i pasti non c’è nessuno del campione considerato che beva più di quattro bicchieri.</w:t>
      </w:r>
    </w:p>
    <w:p w:rsidR="00A56BB3" w:rsidRDefault="00DB47D2">
      <w:pPr>
        <w:pStyle w:val="Paragrafoelenco"/>
        <w:numPr>
          <w:ilvl w:val="0"/>
          <w:numId w:val="6"/>
        </w:numPr>
        <w:spacing w:line="360" w:lineRule="auto"/>
      </w:pPr>
      <w:r>
        <w:rPr>
          <w:rFonts w:ascii="Arial" w:hAnsi="Arial" w:cs="Arial"/>
          <w:sz w:val="24"/>
          <w:szCs w:val="24"/>
        </w:rPr>
        <w:t xml:space="preserve">Analisi </w:t>
      </w:r>
      <w:proofErr w:type="spellStart"/>
      <w:r>
        <w:rPr>
          <w:rFonts w:ascii="Arial" w:hAnsi="Arial" w:cs="Arial"/>
          <w:sz w:val="24"/>
          <w:szCs w:val="24"/>
        </w:rPr>
        <w:t>monovariata</w:t>
      </w:r>
      <w:proofErr w:type="spellEnd"/>
      <w:r>
        <w:rPr>
          <w:rFonts w:ascii="Arial" w:hAnsi="Arial" w:cs="Arial"/>
          <w:sz w:val="24"/>
          <w:szCs w:val="24"/>
        </w:rPr>
        <w:t>: Il 48% degli intervistati ritiene di bere d</w:t>
      </w:r>
      <w:r>
        <w:rPr>
          <w:rFonts w:ascii="Arial" w:hAnsi="Arial" w:cs="Arial"/>
          <w:sz w:val="24"/>
          <w:szCs w:val="24"/>
        </w:rPr>
        <w:t>i meno rispetto al pre-pensionamento, sostenendo che la pensione non influisca sulle loro abitudini alimentari (tabella 1). Il 68 % è a conoscenza dei danni che l’assunzione di sostanze alcoliche comporta all’avanzare dell’età (tabella 2)</w:t>
      </w: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8"/>
          <w:szCs w:val="28"/>
          <w:u w:val="single"/>
        </w:rPr>
        <w:t>Riflessioni</w:t>
      </w: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 xml:space="preserve">La </w:t>
      </w:r>
      <w:r>
        <w:rPr>
          <w:rFonts w:ascii="Arial" w:hAnsi="Arial" w:cs="Arial"/>
          <w:sz w:val="24"/>
          <w:szCs w:val="24"/>
        </w:rPr>
        <w:t>ricerca ha presentato criticità e difficoltà inaspettate a partire della somministrazione dei questionari. Come già sopracitato gli intervistati si sono dimostrati spesso diffidenti e per questo motivo siamo stati costretti a modificare il sistema di sommi</w:t>
      </w:r>
      <w:r>
        <w:rPr>
          <w:rFonts w:ascii="Arial" w:hAnsi="Arial" w:cs="Arial"/>
          <w:sz w:val="24"/>
          <w:szCs w:val="24"/>
        </w:rPr>
        <w:t>nistrazione dei questionari. Un’ulteriore difficoltà è sorta nel momento in cui i gestori di un centro ricreativo per anziani si sono dimostrati contrari alla distribuzione dei questionari notata la gran quantità di domande sulle abitudini alimentari e con</w:t>
      </w:r>
      <w:r>
        <w:rPr>
          <w:rFonts w:ascii="Arial" w:hAnsi="Arial" w:cs="Arial"/>
          <w:sz w:val="24"/>
          <w:szCs w:val="24"/>
        </w:rPr>
        <w:t>sumo di alcolici, probabilmente per difendere i propri interessi relativi alle vendite di questi ultimi. Difficoltà non pervenuta negli ospedali. In questi ci è stato cordialmente fatto presente la necessità di un’autorizzazione per la distribuzione di que</w:t>
      </w:r>
      <w:r>
        <w:rPr>
          <w:rFonts w:ascii="Arial" w:hAnsi="Arial" w:cs="Arial"/>
          <w:sz w:val="24"/>
          <w:szCs w:val="24"/>
        </w:rPr>
        <w:t>sto tipo di materiale e ci son stati forniti alcuni consigli utili sui luoghi in cui distribuire i questionari senza riscontrare difficoltà burocratiche. Anche il “Servizio Aiuto Anziani” ci ha ricordato, telefonicamente, di questa procedura. Per questo mo</w:t>
      </w:r>
      <w:r>
        <w:rPr>
          <w:rFonts w:ascii="Arial" w:hAnsi="Arial" w:cs="Arial"/>
          <w:sz w:val="24"/>
          <w:szCs w:val="24"/>
        </w:rPr>
        <w:t>tivo la distribuzione è avvenuta al di fuori degli ospedali, fuori dai bar, sui mezzi di trasporto.</w:t>
      </w: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>Un’ulteriore criticità riscontrabile nel nostro elaborato è sopraggiunta in seguito alle interviste. Queste hanno rivelato l’importanza, da noi sottovalutat</w:t>
      </w:r>
      <w:r>
        <w:rPr>
          <w:rFonts w:ascii="Arial" w:hAnsi="Arial" w:cs="Arial"/>
          <w:sz w:val="24"/>
          <w:szCs w:val="24"/>
        </w:rPr>
        <w:t xml:space="preserve">a, delle prescrizioni di </w:t>
      </w:r>
      <w:r>
        <w:rPr>
          <w:rFonts w:ascii="Arial" w:hAnsi="Arial" w:cs="Arial"/>
          <w:sz w:val="24"/>
          <w:szCs w:val="24"/>
        </w:rPr>
        <w:lastRenderedPageBreak/>
        <w:t>farmaci nella vita delle persone anziane. Questi ultimi, dovendo prendere farmaci quotidianamente, molto spesso hanno il divieto tassativo di bere alcolici a causa degli effetti che l’alcol ha sull’organismo. La combinazione alcol-</w:t>
      </w:r>
      <w:r>
        <w:rPr>
          <w:rFonts w:ascii="Arial" w:hAnsi="Arial" w:cs="Arial"/>
          <w:sz w:val="24"/>
          <w:szCs w:val="24"/>
        </w:rPr>
        <w:t>farmaco, infatti, causa forti nausee e mancamenti. Avremmo dovuto tenere in considerazione questo parametro all’interno del nostro questionario al fine di escludere questi soggetti.</w:t>
      </w: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>Inoltre avremmo voluto concentrarci maggiormente sul rapporto interpersona</w:t>
      </w:r>
      <w:r>
        <w:rPr>
          <w:rFonts w:ascii="Arial" w:hAnsi="Arial" w:cs="Arial"/>
          <w:sz w:val="24"/>
          <w:szCs w:val="24"/>
        </w:rPr>
        <w:t>le dei soggetti in questione (ad esempio con la famiglia) e relativa correlazione con l’assunzione di alcol, ma data la diffidenza e il poco tempo a disposizione per creare un legame di fiducia con gli intervistati non è stato possibile rilevare abbastanza</w:t>
      </w:r>
      <w:r>
        <w:rPr>
          <w:rFonts w:ascii="Arial" w:hAnsi="Arial" w:cs="Arial"/>
          <w:sz w:val="24"/>
          <w:szCs w:val="24"/>
        </w:rPr>
        <w:t xml:space="preserve"> informazioni per poterne trarre conclusioni valide.</w:t>
      </w:r>
    </w:p>
    <w:p w:rsidR="00A56BB3" w:rsidRDefault="00DB47D2">
      <w:pPr>
        <w:pStyle w:val="Standard"/>
        <w:spacing w:line="360" w:lineRule="auto"/>
      </w:pPr>
      <w:r>
        <w:rPr>
          <w:rFonts w:ascii="Arial" w:hAnsi="Arial" w:cs="Arial"/>
          <w:sz w:val="24"/>
          <w:szCs w:val="24"/>
        </w:rPr>
        <w:t>Ad ogni modo siamo stati lieti di scoprire, dai dati rilevati, un abuso più basso rispetto a quello atteso.</w:t>
      </w:r>
    </w:p>
    <w:p w:rsidR="00A56BB3" w:rsidRDefault="00A56BB3">
      <w:pPr>
        <w:pStyle w:val="Standard"/>
        <w:spacing w:line="276" w:lineRule="auto"/>
        <w:rPr>
          <w:rFonts w:cs="Calibri"/>
          <w:sz w:val="20"/>
          <w:szCs w:val="20"/>
        </w:rPr>
      </w:pPr>
    </w:p>
    <w:p w:rsidR="00A56BB3" w:rsidRDefault="00A56BB3">
      <w:pPr>
        <w:pStyle w:val="Standard"/>
        <w:spacing w:line="276" w:lineRule="auto"/>
        <w:rPr>
          <w:rFonts w:cs="Calibri"/>
          <w:sz w:val="20"/>
          <w:szCs w:val="20"/>
        </w:rPr>
      </w:pPr>
    </w:p>
    <w:p w:rsidR="00A56BB3" w:rsidRDefault="00DB47D2">
      <w:pPr>
        <w:pStyle w:val="Standard"/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Sitografia</w:t>
      </w:r>
    </w:p>
    <w:p w:rsidR="00A56BB3" w:rsidRDefault="00A56BB3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</w:p>
    <w:p w:rsidR="00A56BB3" w:rsidRDefault="00DB47D2">
      <w:pPr>
        <w:pStyle w:val="Standard"/>
        <w:spacing w:line="276" w:lineRule="auto"/>
      </w:pPr>
      <w:r>
        <w:rPr>
          <w:rFonts w:ascii="Arial" w:hAnsi="Arial" w:cs="Arial"/>
          <w:sz w:val="20"/>
          <w:szCs w:val="20"/>
        </w:rPr>
        <w:t xml:space="preserve">C. </w:t>
      </w:r>
      <w:proofErr w:type="spellStart"/>
      <w:r>
        <w:rPr>
          <w:rFonts w:ascii="Arial" w:hAnsi="Arial" w:cs="Arial"/>
          <w:sz w:val="20"/>
          <w:szCs w:val="20"/>
        </w:rPr>
        <w:t>Annovi</w:t>
      </w:r>
      <w:proofErr w:type="spellEnd"/>
      <w:r>
        <w:rPr>
          <w:rFonts w:ascii="Arial" w:hAnsi="Arial" w:cs="Arial"/>
          <w:sz w:val="20"/>
          <w:szCs w:val="20"/>
        </w:rPr>
        <w:t xml:space="preserve">, M. </w:t>
      </w:r>
      <w:proofErr w:type="spellStart"/>
      <w:r>
        <w:rPr>
          <w:rFonts w:ascii="Arial" w:hAnsi="Arial" w:cs="Arial"/>
          <w:sz w:val="20"/>
          <w:szCs w:val="20"/>
        </w:rPr>
        <w:t>Bigarelli</w:t>
      </w:r>
      <w:proofErr w:type="spellEnd"/>
      <w:r>
        <w:rPr>
          <w:rFonts w:ascii="Arial" w:hAnsi="Arial" w:cs="Arial"/>
          <w:sz w:val="20"/>
          <w:szCs w:val="20"/>
        </w:rPr>
        <w:t xml:space="preserve">, A. </w:t>
      </w:r>
      <w:proofErr w:type="spellStart"/>
      <w:r>
        <w:rPr>
          <w:rFonts w:ascii="Arial" w:hAnsi="Arial" w:cs="Arial"/>
          <w:sz w:val="20"/>
          <w:szCs w:val="20"/>
        </w:rPr>
        <w:t>Fabbo</w:t>
      </w:r>
      <w:proofErr w:type="spellEnd"/>
      <w:r>
        <w:rPr>
          <w:rFonts w:ascii="Arial" w:hAnsi="Arial" w:cs="Arial"/>
          <w:sz w:val="20"/>
          <w:szCs w:val="20"/>
        </w:rPr>
        <w:t xml:space="preserve">, A. Spanò, S. Ascari, S. Querci, G. Bannò, </w:t>
      </w:r>
      <w:r>
        <w:rPr>
          <w:rFonts w:ascii="Arial" w:hAnsi="Arial" w:cs="Arial"/>
          <w:i/>
          <w:sz w:val="20"/>
          <w:szCs w:val="20"/>
        </w:rPr>
        <w:t>Line</w:t>
      </w:r>
      <w:r>
        <w:rPr>
          <w:rFonts w:ascii="Arial" w:hAnsi="Arial" w:cs="Arial"/>
          <w:i/>
          <w:sz w:val="20"/>
          <w:szCs w:val="20"/>
        </w:rPr>
        <w:t xml:space="preserve">e di indirizzo per gli operatori socio-sanitari finalizzate alla prevenzione e cura dei disturbi alcol-correlati nell’anziano, </w:t>
      </w:r>
      <w:hyperlink r:id="rId18" w:history="1">
        <w:r>
          <w:rPr>
            <w:rStyle w:val="Collegamentoipertestuale"/>
            <w:rFonts w:ascii="Arial" w:hAnsi="Arial" w:cs="Arial"/>
            <w:sz w:val="20"/>
            <w:szCs w:val="20"/>
          </w:rPr>
          <w:t>www.ppsmodena.it/flex/cm/pages/ServeBLOB.</w:t>
        </w:r>
        <w:r>
          <w:rPr>
            <w:rStyle w:val="Collegamentoipertestuale"/>
            <w:rFonts w:ascii="Arial" w:hAnsi="Arial" w:cs="Arial"/>
            <w:sz w:val="20"/>
            <w:szCs w:val="20"/>
          </w:rPr>
          <w:t>php/L/IT/IDPagina/1017</w:t>
        </w:r>
      </w:hyperlink>
    </w:p>
    <w:p w:rsidR="00A56BB3" w:rsidRDefault="00A56BB3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</w:p>
    <w:p w:rsidR="00A56BB3" w:rsidRDefault="00DB47D2">
      <w:pPr>
        <w:pStyle w:val="Standard"/>
        <w:spacing w:line="276" w:lineRule="auto"/>
      </w:pPr>
      <w:r>
        <w:rPr>
          <w:rFonts w:ascii="Arial" w:hAnsi="Arial" w:cs="Arial"/>
          <w:sz w:val="20"/>
          <w:szCs w:val="20"/>
        </w:rPr>
        <w:t xml:space="preserve">Istat 2013, </w:t>
      </w:r>
      <w:r>
        <w:rPr>
          <w:rFonts w:ascii="Arial" w:hAnsi="Arial" w:cs="Arial"/>
          <w:i/>
          <w:sz w:val="20"/>
          <w:szCs w:val="20"/>
        </w:rPr>
        <w:t xml:space="preserve">L’uso e l’abuso di alcol in Italia, </w:t>
      </w:r>
      <w:hyperlink r:id="rId19" w:history="1">
        <w:r>
          <w:rPr>
            <w:rStyle w:val="Collegamentoipertestuale"/>
            <w:rFonts w:ascii="Arial" w:hAnsi="Arial" w:cs="Arial"/>
            <w:sz w:val="20"/>
            <w:szCs w:val="20"/>
          </w:rPr>
          <w:t>www.istat.it/it/archivio/117897</w:t>
        </w:r>
      </w:hyperlink>
    </w:p>
    <w:p w:rsidR="00A56BB3" w:rsidRDefault="00A56BB3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</w:p>
    <w:p w:rsidR="00A56BB3" w:rsidRDefault="00DB47D2">
      <w:pPr>
        <w:pStyle w:val="Standard"/>
        <w:spacing w:line="276" w:lineRule="auto"/>
      </w:pPr>
      <w:r>
        <w:rPr>
          <w:rFonts w:ascii="Arial" w:hAnsi="Arial" w:cs="Arial"/>
          <w:sz w:val="20"/>
          <w:szCs w:val="20"/>
        </w:rPr>
        <w:t xml:space="preserve">Istituto Superiore di Sanità, </w:t>
      </w:r>
      <w:r>
        <w:rPr>
          <w:rFonts w:ascii="Arial" w:hAnsi="Arial" w:cs="Arial"/>
          <w:i/>
          <w:sz w:val="20"/>
          <w:szCs w:val="20"/>
        </w:rPr>
        <w:t>Epidemiologia e monitoraggio alcol-correlato in Italia e nelle Re</w:t>
      </w:r>
      <w:r>
        <w:rPr>
          <w:rFonts w:ascii="Arial" w:hAnsi="Arial" w:cs="Arial"/>
          <w:i/>
          <w:sz w:val="20"/>
          <w:szCs w:val="20"/>
        </w:rPr>
        <w:t xml:space="preserve">gioni, </w:t>
      </w:r>
      <w:hyperlink r:id="rId20" w:history="1">
        <w:r>
          <w:rPr>
            <w:rStyle w:val="Collegamentoipertestuale"/>
            <w:rFonts w:ascii="Arial" w:hAnsi="Arial" w:cs="Arial"/>
            <w:sz w:val="20"/>
            <w:szCs w:val="20"/>
          </w:rPr>
          <w:t>www.iss.it/binary/publ/cont/15_3_web.pdf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A56BB3" w:rsidRDefault="00A56BB3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</w:p>
    <w:p w:rsidR="00A56BB3" w:rsidRDefault="00DB47D2">
      <w:pPr>
        <w:pStyle w:val="Standard"/>
        <w:spacing w:line="276" w:lineRule="auto"/>
      </w:pPr>
      <w:r>
        <w:rPr>
          <w:rFonts w:ascii="Arial" w:hAnsi="Arial" w:cs="Arial"/>
          <w:sz w:val="20"/>
          <w:szCs w:val="20"/>
        </w:rPr>
        <w:t xml:space="preserve">Ministero della Salute, </w:t>
      </w:r>
      <w:r>
        <w:rPr>
          <w:rFonts w:ascii="Arial" w:hAnsi="Arial" w:cs="Arial"/>
          <w:i/>
          <w:sz w:val="20"/>
          <w:szCs w:val="20"/>
        </w:rPr>
        <w:t xml:space="preserve">Anziani e alcol, </w:t>
      </w:r>
      <w:hyperlink r:id="rId21" w:history="1">
        <w:r>
          <w:rPr>
            <w:rStyle w:val="Collegamentoipertestuale"/>
            <w:rFonts w:ascii="Arial" w:hAnsi="Arial" w:cs="Arial"/>
            <w:sz w:val="20"/>
            <w:szCs w:val="20"/>
          </w:rPr>
          <w:t>www.salute.gov.it/portale/temi/p2_6.jsp?lingua=italiano&amp;id=2352&amp;area=alcol&amp;menu=vuoto</w:t>
        </w:r>
      </w:hyperlink>
    </w:p>
    <w:p w:rsidR="00A56BB3" w:rsidRDefault="00A56BB3">
      <w:pPr>
        <w:pStyle w:val="Standard"/>
        <w:spacing w:line="276" w:lineRule="auto"/>
        <w:rPr>
          <w:rFonts w:ascii="Arial" w:hAnsi="Arial" w:cs="Arial"/>
          <w:sz w:val="20"/>
          <w:szCs w:val="20"/>
        </w:rPr>
      </w:pPr>
    </w:p>
    <w:p w:rsidR="00A56BB3" w:rsidRDefault="00DB47D2">
      <w:pPr>
        <w:pStyle w:val="Standard"/>
        <w:spacing w:line="276" w:lineRule="auto"/>
      </w:pPr>
      <w:r>
        <w:rPr>
          <w:rFonts w:ascii="Arial" w:hAnsi="Arial" w:cs="Arial"/>
          <w:sz w:val="20"/>
          <w:szCs w:val="20"/>
        </w:rPr>
        <w:t xml:space="preserve">Dott. Giovanni Cristianini, </w:t>
      </w:r>
      <w:r>
        <w:rPr>
          <w:rFonts w:ascii="Arial" w:hAnsi="Arial" w:cs="Arial"/>
          <w:i/>
          <w:sz w:val="20"/>
          <w:szCs w:val="20"/>
        </w:rPr>
        <w:t xml:space="preserve">L’alcolismo tardivo dell’anziano – 3, </w:t>
      </w:r>
      <w:hyperlink r:id="rId22" w:history="1">
        <w:r>
          <w:rPr>
            <w:rStyle w:val="Collegamentoipertestuale"/>
            <w:rFonts w:ascii="Arial" w:hAnsi="Arial" w:cs="Arial"/>
            <w:sz w:val="20"/>
            <w:szCs w:val="20"/>
          </w:rPr>
          <w:t>www.geragogia.net/generale/alcolismo_3.html</w:t>
        </w:r>
      </w:hyperlink>
    </w:p>
    <w:p w:rsidR="00A56BB3" w:rsidRDefault="00A56BB3">
      <w:pPr>
        <w:pStyle w:val="Standard"/>
        <w:spacing w:line="276" w:lineRule="auto"/>
      </w:pPr>
    </w:p>
    <w:p w:rsidR="00A56BB3" w:rsidRDefault="00DB47D2">
      <w:pPr>
        <w:pStyle w:val="Standard"/>
        <w:spacing w:line="276" w:lineRule="auto"/>
      </w:pPr>
      <w:r>
        <w:rPr>
          <w:rStyle w:val="Collegamentoipertestuale"/>
          <w:rFonts w:ascii="Arial" w:hAnsi="Arial" w:cs="Arial"/>
          <w:sz w:val="20"/>
          <w:szCs w:val="20"/>
        </w:rPr>
        <w:t xml:space="preserve">Istat 2015, </w:t>
      </w:r>
      <w:r>
        <w:rPr>
          <w:rStyle w:val="Collegamentoipertestuale"/>
          <w:rFonts w:ascii="Arial" w:hAnsi="Arial" w:cs="Arial"/>
          <w:i/>
          <w:sz w:val="20"/>
          <w:szCs w:val="20"/>
        </w:rPr>
        <w:t xml:space="preserve">Condizioni di vita dei pensionati, </w:t>
      </w:r>
      <w:r>
        <w:rPr>
          <w:rStyle w:val="Collegamentoipertestuale"/>
          <w:rFonts w:ascii="Arial" w:hAnsi="Arial" w:cs="Arial"/>
          <w:sz w:val="20"/>
          <w:szCs w:val="20"/>
        </w:rPr>
        <w:t>www.istat.it/it/files/2016/12/Condizioni-vita-pensionati.pdf?title=Con</w:t>
      </w:r>
    </w:p>
    <w:sectPr w:rsidR="00A56BB3">
      <w:footerReference w:type="default" r:id="rId23"/>
      <w:pgSz w:w="11906" w:h="16838"/>
      <w:pgMar w:top="1417" w:right="1134" w:bottom="1134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DB47D2">
      <w:r>
        <w:separator/>
      </w:r>
    </w:p>
  </w:endnote>
  <w:endnote w:type="continuationSeparator" w:id="0">
    <w:p w:rsidR="00000000" w:rsidRDefault="00DB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2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3AE" w:rsidRDefault="00DB47D2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17</w:t>
    </w:r>
    <w:r>
      <w:fldChar w:fldCharType="end"/>
    </w:r>
  </w:p>
  <w:p w:rsidR="00A723AE" w:rsidRDefault="00DB47D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DB47D2">
      <w:r>
        <w:rPr>
          <w:color w:val="000000"/>
        </w:rPr>
        <w:separator/>
      </w:r>
    </w:p>
  </w:footnote>
  <w:footnote w:type="continuationSeparator" w:id="0">
    <w:p w:rsidR="00000000" w:rsidRDefault="00DB4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13DB5"/>
    <w:multiLevelType w:val="multilevel"/>
    <w:tmpl w:val="32CAE77C"/>
    <w:styleLink w:val="WWNum7"/>
    <w:lvl w:ilvl="0">
      <w:numFmt w:val="bullet"/>
      <w:lvlText w:val="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17A67F81"/>
    <w:multiLevelType w:val="multilevel"/>
    <w:tmpl w:val="952C601E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82737BF"/>
    <w:multiLevelType w:val="multilevel"/>
    <w:tmpl w:val="BB96E508"/>
    <w:styleLink w:val="WWNum2"/>
    <w:lvl w:ilvl="0">
      <w:numFmt w:val="bullet"/>
      <w:lvlText w:val="-"/>
      <w:lvlJc w:val="left"/>
      <w:pPr>
        <w:ind w:left="720" w:hanging="360"/>
      </w:pPr>
      <w:rPr>
        <w:rFonts w:ascii="Arial" w:hAnsi="Arial" w:cs="Arial"/>
        <w:b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2BB9087A"/>
    <w:multiLevelType w:val="multilevel"/>
    <w:tmpl w:val="A028A4C2"/>
    <w:styleLink w:val="WWNum6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3AA807DD"/>
    <w:multiLevelType w:val="multilevel"/>
    <w:tmpl w:val="99EC8D4E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F9210F5"/>
    <w:multiLevelType w:val="multilevel"/>
    <w:tmpl w:val="66CAD440"/>
    <w:styleLink w:val="WWNum1"/>
    <w:lvl w:ilvl="0">
      <w:numFmt w:val="bullet"/>
      <w:lvlText w:val="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720155B3"/>
    <w:multiLevelType w:val="multilevel"/>
    <w:tmpl w:val="0EFAD068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7" w15:restartNumberingAfterBreak="0">
    <w:nsid w:val="7D347D3B"/>
    <w:multiLevelType w:val="multilevel"/>
    <w:tmpl w:val="0A3AA1CA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D7B52"/>
    <w:multiLevelType w:val="multilevel"/>
    <w:tmpl w:val="7326FCA0"/>
    <w:lvl w:ilvl="0">
      <w:numFmt w:val="bullet"/>
      <w:lvlText w:val="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hAnsi="StarSymbol"/>
      </w:rPr>
    </w:lvl>
  </w:abstractNum>
  <w:abstractNum w:abstractNumId="9" w15:restartNumberingAfterBreak="0">
    <w:nsid w:val="7E9A3C57"/>
    <w:multiLevelType w:val="multilevel"/>
    <w:tmpl w:val="164E11E6"/>
    <w:styleLink w:val="WWNum3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  <w:b/>
        <w:sz w:val="24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5"/>
    <w:lvlOverride w:ilvl="0"/>
  </w:num>
  <w:num w:numId="11">
    <w:abstractNumId w:val="1"/>
  </w:num>
  <w:num w:numId="12">
    <w:abstractNumId w:val="2"/>
    <w:lvlOverride w:ilvl="0"/>
  </w:num>
  <w:num w:numId="13">
    <w:abstractNumId w:val="9"/>
    <w:lvlOverride w:ilvl="0"/>
  </w:num>
  <w:num w:numId="14">
    <w:abstractNumId w:val="0"/>
    <w:lvlOverride w:ilvl="0"/>
  </w:num>
  <w:num w:numId="15">
    <w:abstractNumId w:val="7"/>
    <w:lvlOverride w:ilvl="0">
      <w:startOverride w:val="1"/>
    </w:lvlOverride>
  </w:num>
  <w:num w:numId="1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A56BB3"/>
    <w:rsid w:val="0096616F"/>
    <w:rsid w:val="00A56BB3"/>
    <w:rsid w:val="00DB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43C22"/>
  <w15:docId w15:val="{E5D30583-4122-40CC-8368-37F998E0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pPr>
      <w:keepNext/>
      <w:keepLines/>
      <w:spacing w:before="240" w:after="0"/>
      <w:outlineLvl w:val="0"/>
    </w:pPr>
    <w:rPr>
      <w:rFonts w:ascii="Calibri Light" w:eastAsia="F" w:hAnsi="Calibri Light"/>
      <w:color w:val="2F5496"/>
      <w:sz w:val="32"/>
      <w:szCs w:val="32"/>
    </w:rPr>
  </w:style>
  <w:style w:type="paragraph" w:styleId="Titolo2">
    <w:name w:val="heading 2"/>
    <w:basedOn w:val="Standard"/>
    <w:pPr>
      <w:keepNext/>
      <w:keepLines/>
      <w:spacing w:before="40" w:after="0"/>
      <w:outlineLvl w:val="1"/>
    </w:pPr>
    <w:rPr>
      <w:rFonts w:ascii="Calibri Light" w:eastAsia="F" w:hAnsi="Calibri Light"/>
      <w:color w:val="2F5496"/>
      <w:sz w:val="26"/>
      <w:szCs w:val="26"/>
    </w:rPr>
  </w:style>
  <w:style w:type="paragraph" w:styleId="Titolo3">
    <w:name w:val="heading 3"/>
    <w:basedOn w:val="Standard"/>
    <w:pPr>
      <w:keepNext/>
      <w:keepLines/>
      <w:spacing w:before="40" w:after="0"/>
      <w:outlineLvl w:val="2"/>
    </w:pPr>
    <w:rPr>
      <w:rFonts w:ascii="Calibri Light" w:eastAsia="F" w:hAnsi="Calibri Light"/>
      <w:color w:val="1F3763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itolo">
    <w:name w:val="Title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ragrafoelenco">
    <w:name w:val="List Paragraph"/>
    <w:basedOn w:val="Standard"/>
    <w:pPr>
      <w:ind w:left="720"/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Titolosommario">
    <w:name w:val="TOC Heading"/>
    <w:basedOn w:val="Titolo1"/>
    <w:pPr>
      <w:spacing w:before="480" w:line="276" w:lineRule="auto"/>
    </w:pPr>
    <w:rPr>
      <w:b/>
      <w:bCs/>
      <w:sz w:val="28"/>
      <w:szCs w:val="28"/>
    </w:rPr>
  </w:style>
  <w:style w:type="paragraph" w:customStyle="1" w:styleId="Contents2">
    <w:name w:val="Contents 2"/>
    <w:basedOn w:val="Standard"/>
    <w:autoRedefine/>
    <w:pPr>
      <w:spacing w:after="100"/>
      <w:ind w:left="220"/>
    </w:pPr>
  </w:style>
  <w:style w:type="paragraph" w:customStyle="1" w:styleId="Contents1">
    <w:name w:val="Contents 1"/>
    <w:basedOn w:val="Standard"/>
    <w:autoRedefine/>
    <w:pPr>
      <w:spacing w:after="100"/>
    </w:pPr>
  </w:style>
  <w:style w:type="paragraph" w:customStyle="1" w:styleId="Contents3">
    <w:name w:val="Contents 3"/>
    <w:basedOn w:val="Standard"/>
    <w:autoRedefine/>
    <w:pPr>
      <w:spacing w:after="100"/>
      <w:ind w:left="440"/>
    </w:pPr>
  </w:style>
  <w:style w:type="character" w:customStyle="1" w:styleId="Titolo2Carattere">
    <w:name w:val="Titolo 2 Carattere"/>
    <w:basedOn w:val="Carpredefinitoparagrafo"/>
    <w:rPr>
      <w:rFonts w:ascii="Calibri Light" w:eastAsia="F" w:hAnsi="Calibri Light" w:cs="F"/>
      <w:color w:val="2F5496"/>
      <w:sz w:val="26"/>
      <w:szCs w:val="26"/>
    </w:rPr>
  </w:style>
  <w:style w:type="character" w:customStyle="1" w:styleId="Titolo1Carattere">
    <w:name w:val="Titolo 1 Carattere"/>
    <w:basedOn w:val="Carpredefinitoparagrafo"/>
    <w:rPr>
      <w:rFonts w:ascii="Calibri Light" w:eastAsia="F" w:hAnsi="Calibri Light" w:cs="F"/>
      <w:color w:val="2F5496"/>
      <w:sz w:val="32"/>
      <w:szCs w:val="32"/>
    </w:rPr>
  </w:style>
  <w:style w:type="character" w:customStyle="1" w:styleId="Titolo3Carattere">
    <w:name w:val="Titolo 3 Carattere"/>
    <w:basedOn w:val="Carpredefinitoparagrafo"/>
    <w:rPr>
      <w:rFonts w:ascii="Calibri Light" w:eastAsia="F" w:hAnsi="Calibri Light" w:cs="F"/>
      <w:color w:val="1F3763"/>
      <w:sz w:val="24"/>
      <w:szCs w:val="24"/>
    </w:r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ascii="Arial" w:eastAsia="Calibri" w:hAnsi="Arial" w:cs="Arial"/>
      <w:b/>
      <w:sz w:val="24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Calibri" w:cs="Aria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NumberingSymbols">
    <w:name w:val="Numbering Symbols"/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basedOn w:val="Carpredefinitoparagrafo"/>
    <w:rPr>
      <w:color w:val="0563C1"/>
      <w:u w:val="single"/>
    </w:rPr>
  </w:style>
  <w:style w:type="character" w:customStyle="1" w:styleId="ListLabel12">
    <w:name w:val="ListLabel 12"/>
    <w:rPr>
      <w:rFonts w:ascii="Arial" w:eastAsia="Arial" w:hAnsi="Arial" w:cs="Wingdings"/>
      <w:b/>
      <w:sz w:val="24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Wingdings"/>
    </w:rPr>
  </w:style>
  <w:style w:type="character" w:customStyle="1" w:styleId="ListLabel15">
    <w:name w:val="ListLabel 15"/>
    <w:rPr>
      <w:rFonts w:cs="Symbol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Wingdings"/>
    </w:rPr>
  </w:style>
  <w:style w:type="character" w:customStyle="1" w:styleId="ListLabel18">
    <w:name w:val="ListLabel 18"/>
    <w:rPr>
      <w:rFonts w:cs="Symbol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Wingdings"/>
    </w:rPr>
  </w:style>
  <w:style w:type="character" w:customStyle="1" w:styleId="ListLabel21">
    <w:name w:val="ListLabel 21"/>
    <w:rPr>
      <w:rFonts w:ascii="Arial" w:eastAsia="Arial" w:hAnsi="Arial" w:cs="Arial"/>
      <w:b/>
      <w:sz w:val="24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Wingdings"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cs="Wingdings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Wingdings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/>
      <w:sz w:val="24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numbering" w:customStyle="1" w:styleId="NoList">
    <w:name w:val="No List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yperlink" Target="http://www.ppsmodena.it/flex/cm/pages/ServeBLOB.php/L/IT/IDPagina/101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alute.gov.it/portale/temi/p2_6.jsp?lingua=italiano&amp;id=2352&amp;area=alcol&amp;menu=vuoto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www.iss.it/binary/publ/cont/15_3_web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hyperlink" Target="http://www.istat.it/it/archivio/11789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geragogia.net/generale/alcolismo_3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filippi</dc:creator>
  <cp:lastModifiedBy>elisa filippi</cp:lastModifiedBy>
  <cp:revision>2</cp:revision>
  <dcterms:created xsi:type="dcterms:W3CDTF">2017-06-29T10:21:00Z</dcterms:created>
  <dcterms:modified xsi:type="dcterms:W3CDTF">2017-06-29T10:21:00Z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